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70"/>
        </w:tabs>
        <w:spacing w:after="0" w:before="0" w:line="48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sectPr>
          <w:headerReference r:id="rId9" w:type="default"/>
          <w:pgSz w:h="11907" w:w="8391" w:orient="portrait"/>
          <w:pgMar w:bottom="720" w:top="720" w:left="720" w:right="720" w:header="283" w:footer="283"/>
          <w:pgNumType w:start="1"/>
        </w:sectPr>
      </w:pPr>
      <w:r w:rsidDel="00000000" w:rsidR="00000000" w:rsidRPr="00000000">
        <w:rPr>
          <w:rFonts w:ascii="Quattrocento Sans" w:cs="Quattrocento Sans" w:eastAsia="Quattrocento Sans" w:hAnsi="Quattrocento Sans"/>
          <w:rtl w:val="0"/>
        </w:rPr>
        <w:t xml:space="preserve">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0" w:firstLine="0"/>
        <w:jc w:val="both"/>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Vrtací šroubovák aku</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PA12Li, PA18C</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NÁVOD K POUŽITÍ</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Pojmenování</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Akumulátorový elektrický ruční vrtací stroj (šroubovák) je určen pro šroubování a odšroubování šroubů a šroubků, vrtání otvorů v různých konstrukčních materiálech (včetně kovu, dřeva, plastu atd.). Stroj je určen pro domácí použití. Nástroj má schopnost plynule měnit počet otáček pracovního vřetena a měnit směr jeho otáčení na opačný (zpětný chod) a také měnit točivý moment vřetena.</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POZOR! Stroj má samostatný zdroj energie - dobíjecí baterii, jejíž životnost a bezpečnost závisí na přísném dodržování provozních podmínek stanovených tímto pasem.Stroj je konstruován pro provoz při okolní teplotě +10 ° C až + 40 ° C a relativní vlhkosti ne více než 80% a při přímém vystavení atmosférickým srážkám a nadměrné prašnosti vzduchu.</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BEZPEČNOSTNÍ PRAVIDLA PŘI PRÁCI S NÁŘADÍM</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POZOR</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 Před použitím tohoto produktu si přečtěte tyto pokyny a postupujte podle nich.</w:t>
      </w:r>
    </w:p>
    <w:p w:rsidR="00000000" w:rsidDel="00000000" w:rsidP="00000000" w:rsidRDefault="00000000" w:rsidRPr="00000000" w14:paraId="0000000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Nepracujte v místnostech s výbušným nebo chemicky aktivním prostředím.</w:t>
      </w:r>
    </w:p>
    <w:p w:rsidR="00000000" w:rsidDel="00000000" w:rsidP="00000000" w:rsidRDefault="00000000" w:rsidRPr="00000000" w14:paraId="0000000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Postarejte se o dobré osvětlení.</w:t>
      </w:r>
    </w:p>
    <w:p w:rsidR="00000000" w:rsidDel="00000000" w:rsidP="00000000" w:rsidRDefault="00000000" w:rsidRPr="00000000" w14:paraId="0000000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Nedotýkejte se elektrického nářadí a uzemněných předmětů, jako jsou potrubí, topné články, současně.</w:t>
      </w:r>
    </w:p>
    <w:p w:rsidR="00000000" w:rsidDel="00000000" w:rsidP="00000000" w:rsidRDefault="00000000" w:rsidRPr="00000000" w14:paraId="0000000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Nedovolte dětem nebo neoprávněným osobám, aby se nacházely v pracovním prostoru.</w:t>
      </w:r>
    </w:p>
    <w:p w:rsidR="00000000" w:rsidDel="00000000" w:rsidP="00000000" w:rsidRDefault="00000000" w:rsidRPr="00000000" w14:paraId="0000001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Bezpečně uložte své nářadí. Nářadí by mělo být skladováno v suché místnosti s teplotou vzduchu nad 0 ° C a nemělo by být přístupné dětem.</w:t>
      </w:r>
    </w:p>
    <w:p w:rsidR="00000000" w:rsidDel="00000000" w:rsidP="00000000" w:rsidRDefault="00000000" w:rsidRPr="00000000" w14:paraId="0000001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Vyberte správný nástroj. Pro těžkou práci nepoužívejte příliš malé nástroje. Nepoužívejte nástroje pro účely, pro které nebyly určeny.</w:t>
      </w:r>
    </w:p>
    <w:p w:rsidR="00000000" w:rsidDel="00000000" w:rsidP="00000000" w:rsidRDefault="00000000" w:rsidRPr="00000000" w14:paraId="0000001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Používejte vhodný pracovní oděv. Nenoste volné oblečení nebo šperky. Mohou být zachyceny pohyblivými částmi nástrojů. Při práci venku doporučujeme používat gumové rukavice a neklouzavou obuv.</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Používejte ochranné brýle.</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Chraňte kabel nabíječky před poškozením. Nepřenášejte nabíječku za kabel, nepoužívejte kabel k vytažení zástrčky ze zásuvky. Kabel udržujte mimo horké a mastné povrchy a ostré hrany.</w:t>
      </w:r>
    </w:p>
    <w:p w:rsidR="00000000" w:rsidDel="00000000" w:rsidP="00000000" w:rsidRDefault="00000000" w:rsidRPr="00000000" w14:paraId="0000001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Bezpečně upevněte díl. K upnutí součásti pevně použijte upínací zařízení nebo svěrák.</w:t>
      </w:r>
    </w:p>
    <w:p w:rsidR="00000000" w:rsidDel="00000000" w:rsidP="00000000" w:rsidRDefault="00000000" w:rsidRPr="00000000" w14:paraId="0000001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Při práci s nástrojem udržujte stabilní polohu a nesnažte se dosáhnout předmětů, které jsou mimo dosah.</w:t>
      </w:r>
    </w:p>
    <w:p w:rsidR="00000000" w:rsidDel="00000000" w:rsidP="00000000" w:rsidRDefault="00000000" w:rsidRPr="00000000" w14:paraId="0000001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Pečlivě pečujte o svůj nástroj. Udržujte nářadí čisté a uklizené. Postupujte podle pokynů pro péči a výměnu součástí. Pravidelně kontrolujte stav zástrčky a kabelu a v případě potřeby kontaktujte odborníka.</w:t>
      </w:r>
    </w:p>
    <w:p w:rsidR="00000000" w:rsidDel="00000000" w:rsidP="00000000" w:rsidRDefault="00000000" w:rsidRPr="00000000" w14:paraId="0000001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Vypněte nabíječku. Po dokončení nabíječku po nabití baterie vypněte. Zabraňte náhodnému zapnutí nástroje.</w:t>
      </w:r>
    </w:p>
    <w:p w:rsidR="00000000" w:rsidDel="00000000" w:rsidP="00000000" w:rsidRDefault="00000000" w:rsidRPr="00000000" w14:paraId="0000001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Nenoste nářadí v poloze, když je prst na spínači.</w:t>
      </w:r>
    </w:p>
    <w:p w:rsidR="00000000" w:rsidDel="00000000" w:rsidP="00000000" w:rsidRDefault="00000000" w:rsidRPr="00000000" w14:paraId="0000001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Zkontrolujte poškození nářadí. Všechny díly musí být správně sestaveny a splňovat všechny podmínky zaručující perfektní fungování výrobku. Zkontrolujte, zda pohyblivé části správně fungují a zda nejsou zaseknuté. Nepoužívejte nářadí s vadným spínačem. Poškozené jističe je třeba vyměnit.</w:t>
      </w:r>
    </w:p>
    <w:p w:rsidR="00000000" w:rsidDel="00000000" w:rsidP="00000000" w:rsidRDefault="00000000" w:rsidRPr="00000000" w14:paraId="0000001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Nevyvrtávejte stěny ani jiné povrchy, kde prochází elektrické vedení. • Pokud je této situaci nevyhnutelné, vypněte všechny pojistky a / nebo jističe, kterými je do této pracovní oblasti přiváděna elektrická energie.</w:t>
      </w:r>
    </w:p>
    <w:p w:rsidR="00000000" w:rsidDel="00000000" w:rsidP="00000000" w:rsidRDefault="00000000" w:rsidRPr="00000000" w14:paraId="0000001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Pokud se vrták během provozu zasekne, okamžitě vypněte šroubovák, povolte vrták a pokračujte v práci.</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BATERIE / NABÍJECKA</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 Před zahájením používání nabíječky se ujistěte, že nastavení napájení je uvedeno na typovém štítku zařízení.</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 Nepoužívejte nabíječky s poruchami.</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 Nenabíjejte ve vlhkých nebo vlhkých oblastech. Nenechávejte nabíječku za deště nebo ve sněhu.</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 Můžete se seznámit s teplotními omezeními při používání baterie na barevné nálepce.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 Nedotýkejte se nechráněných částí těla tekutinou vytékající z baterie. V případě kontaktu rychle umyjte mýdlem a vodou, poté citronovou šťávou nebo octem, během nabíjení se baterie a nabíječka zahřejí. Nedotýkejte se zařízení holýma rukama, mohlo by dojít k popálení. Počkejte, až zařízení zcela vychladne.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SLOŽENÍ A PŘÍSLUŠENSTVÍ. SPECIFIKACE</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DODACÍ SADA</w:t>
      </w:r>
      <w:r w:rsidDel="00000000" w:rsidR="00000000" w:rsidRPr="00000000">
        <w:rPr>
          <w:rtl w:val="0"/>
        </w:rPr>
      </w:r>
    </w:p>
    <w:tbl>
      <w:tblPr>
        <w:tblStyle w:val="Table1"/>
        <w:tblW w:w="7167.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6345"/>
        <w:gridCol w:w="822"/>
        <w:tblGridChange w:id="0">
          <w:tblGrid>
            <w:gridCol w:w="6345"/>
            <w:gridCol w:w="822"/>
          </w:tblGrid>
        </w:tblGridChange>
      </w:tblGrid>
      <w:tr>
        <w:trPr>
          <w:cantSplit w:val="0"/>
          <w:tblHeader w:val="0"/>
        </w:trPr>
        <w:tc>
          <w:tcP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sdt>
              <w:sdtPr>
                <w:tag w:val="goog_rdk_0"/>
              </w:sdtPr>
              <w:sdtContent>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Univerzální dodávková sada pro model ТМ „Procraft“</w:t>
                </w:r>
              </w:sdtContent>
            </w:sdt>
          </w:p>
        </w:tc>
        <w:tc>
          <w:tcP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Na jeho obalu je uvedena možnost konfigurace stroje. Obsah balení se může lišit od standardního obsahu uvedeného v této příručce. Stroj je dodáván s:</w:t>
            </w:r>
          </w:p>
        </w:tc>
        <w:tc>
          <w:tcP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Bateriový stroj </w:t>
            </w:r>
          </w:p>
        </w:tc>
        <w:tc>
          <w:tcP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1 ks.</w:t>
            </w:r>
          </w:p>
        </w:tc>
      </w:tr>
      <w:tr>
        <w:trPr>
          <w:cantSplit w:val="0"/>
          <w:tblHeader w:val="0"/>
        </w:trPr>
        <w:tc>
          <w:tcP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Pokyny k provozu a údržbě </w:t>
            </w:r>
          </w:p>
        </w:tc>
        <w:tc>
          <w:tcP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1 ks.</w:t>
            </w:r>
          </w:p>
        </w:tc>
      </w:tr>
      <w:tr>
        <w:trPr>
          <w:cantSplit w:val="0"/>
          <w:tblHeader w:val="0"/>
        </w:trPr>
        <w:tc>
          <w:tcP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Li-ion baterie </w:t>
            </w:r>
          </w:p>
        </w:tc>
        <w:tc>
          <w:tcP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2 ks.</w:t>
            </w:r>
          </w:p>
        </w:tc>
      </w:tr>
      <w:tr>
        <w:trPr>
          <w:cantSplit w:val="0"/>
          <w:tblHeader w:val="0"/>
        </w:trPr>
        <w:tc>
          <w:tcP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Nabíječka baterií </w:t>
            </w:r>
          </w:p>
        </w:tc>
        <w:tc>
          <w:tcP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1 ks.</w:t>
            </w:r>
          </w:p>
        </w:tc>
      </w:tr>
      <w:tr>
        <w:trPr>
          <w:cantSplit w:val="0"/>
          <w:tblHeader w:val="0"/>
        </w:trPr>
        <w:tc>
          <w:tcP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Bit</w:t>
            </w:r>
          </w:p>
        </w:tc>
        <w:tc>
          <w:tcP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1 ks.</w:t>
            </w:r>
          </w:p>
        </w:tc>
      </w:tr>
      <w:tr>
        <w:trPr>
          <w:cantSplit w:val="0"/>
          <w:tblHeader w:val="0"/>
        </w:trPr>
        <w:tc>
          <w:tcP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Plastové pouzdro .</w:t>
            </w:r>
          </w:p>
        </w:tc>
        <w:tc>
          <w:tcP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1 ks.</w:t>
            </w:r>
          </w:p>
        </w:tc>
      </w:tr>
    </w:tbl>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br w:type="page"/>
      </w: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SOUČÁSTI, ČÁSTÍ AKUMULÁTORU-vrtačky</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Pr>
        <w:pict>
          <v:shape id="_x0000_s0" style="width:286pt;height:182pt;" type="#_x0000_t75">
            <v:imagedata r:id="rId1" o:title=""/>
          </v:shape>
          <o:OLEObject DrawAspect="Content" r:id="rId2" ObjectID="_1234567893" ProgID="Unknown" ShapeID="_x0000_s0" Type="Embed"/>
        </w:pic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1 – přepínač;</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2 – sklíčidlo bez klíče;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3 – kroužek pro nastavení točivého momentu;</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4а – spínač rozsahu rychlosti;</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4 – spínač směru otáčení;</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5 – tlačítko pro odpojení baterie;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6 – dobíjecí baterie;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7 – ledka/podsvícení</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8 – nabíječka</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TECHNICKÁ SPECIFIKACE</w:t>
      </w:r>
      <w:r w:rsidDel="00000000" w:rsidR="00000000" w:rsidRPr="00000000">
        <w:rPr>
          <w:rtl w:val="0"/>
        </w:rPr>
      </w:r>
    </w:p>
    <w:tbl>
      <w:tblPr>
        <w:tblStyle w:val="Table2"/>
        <w:tblW w:w="7088.0" w:type="dxa"/>
        <w:jc w:val="left"/>
        <w:tblInd w:w="108.0" w:type="pc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3261"/>
        <w:gridCol w:w="1984"/>
        <w:gridCol w:w="1843"/>
        <w:tblGridChange w:id="0">
          <w:tblGrid>
            <w:gridCol w:w="3261"/>
            <w:gridCol w:w="1984"/>
            <w:gridCol w:w="1843"/>
          </w:tblGrid>
        </w:tblGridChange>
      </w:tblGrid>
      <w:tr>
        <w:trPr>
          <w:cantSplit w:val="0"/>
          <w:trHeight w:val="70" w:hRule="atLeast"/>
          <w:tblHeader w:val="0"/>
        </w:trPr>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Model</w:t>
            </w:r>
            <w:r w:rsidDel="00000000" w:rsidR="00000000" w:rsidRPr="00000000">
              <w:rPr>
                <w:rtl w:val="0"/>
              </w:rPr>
            </w:r>
          </w:p>
        </w:tc>
        <w:tc>
          <w:tcPr>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PA12Li</w:t>
            </w:r>
            <w:r w:rsidDel="00000000" w:rsidR="00000000" w:rsidRPr="00000000">
              <w:rPr>
                <w:rtl w:val="0"/>
              </w:rPr>
            </w:r>
          </w:p>
        </w:tc>
        <w:tc>
          <w:tcP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PA18C</w:t>
            </w:r>
            <w:r w:rsidDel="00000000" w:rsidR="00000000" w:rsidRPr="00000000">
              <w:rPr>
                <w:rtl w:val="0"/>
              </w:rPr>
            </w:r>
          </w:p>
        </w:tc>
      </w:tr>
      <w:tr>
        <w:trPr>
          <w:cantSplit w:val="0"/>
          <w:trHeight w:val="183" w:hRule="atLeast"/>
          <w:tblHeader w:val="0"/>
        </w:trPr>
        <w:tc>
          <w:tcPr>
            <w:gridSpan w:val="3"/>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Vrtací šroubovák aku</w:t>
            </w:r>
            <w:r w:rsidDel="00000000" w:rsidR="00000000" w:rsidRPr="00000000">
              <w:rPr>
                <w:rtl w:val="0"/>
              </w:rPr>
            </w:r>
          </w:p>
        </w:tc>
      </w:tr>
      <w:tr>
        <w:trPr>
          <w:cantSplit w:val="0"/>
          <w:trHeight w:val="106" w:hRule="atLeast"/>
          <w:tblHeader w:val="0"/>
        </w:trPr>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Napájecí napětí akušroubováku</w:t>
            </w:r>
          </w:p>
        </w:tc>
        <w:tc>
          <w:tcP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Max. 12,0 V</w:t>
            </w:r>
          </w:p>
        </w:tc>
        <w:tc>
          <w:tcP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Max.18,0 V</w:t>
            </w:r>
          </w:p>
        </w:tc>
      </w:tr>
      <w:tr>
        <w:trPr>
          <w:cantSplit w:val="0"/>
          <w:trHeight w:val="106" w:hRule="atLeast"/>
          <w:tblHeader w:val="0"/>
        </w:trPr>
        <w:tc>
          <w:tcP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highlight w:val="yellow"/>
                <w:u w:val="none"/>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Max. kroutící moment</w:t>
            </w:r>
            <w:r w:rsidDel="00000000" w:rsidR="00000000" w:rsidRPr="00000000">
              <w:rPr>
                <w:rtl w:val="0"/>
              </w:rPr>
            </w:r>
          </w:p>
        </w:tc>
        <w:tc>
          <w:tcP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highlight w:val="yellow"/>
                <w:u w:val="none"/>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32 Nm</w:t>
            </w:r>
            <w:r w:rsidDel="00000000" w:rsidR="00000000" w:rsidRPr="00000000">
              <w:rPr>
                <w:rtl w:val="0"/>
              </w:rPr>
            </w:r>
          </w:p>
        </w:tc>
        <w:tc>
          <w:tcP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highlight w:val="yellow"/>
                <w:u w:val="none"/>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35 Nm</w:t>
            </w:r>
            <w:r w:rsidDel="00000000" w:rsidR="00000000" w:rsidRPr="00000000">
              <w:rPr>
                <w:rtl w:val="0"/>
              </w:rPr>
            </w:r>
          </w:p>
        </w:tc>
      </w:tr>
      <w:tr>
        <w:trPr>
          <w:cantSplit w:val="0"/>
          <w:trHeight w:val="106" w:hRule="atLeast"/>
          <w:tblHeader w:val="0"/>
        </w:trPr>
        <w:tc>
          <w:tcP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Otáčky bez zatížení</w:t>
            </w:r>
          </w:p>
        </w:tc>
        <w:tc>
          <w:tcPr>
            <w:vAlign w:val="top"/>
          </w:tcPr>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70" w:right="0" w:hanging="142"/>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0-350 rpm; </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70" w:right="0" w:hanging="142"/>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0-1400 rpm</w:t>
            </w:r>
          </w:p>
        </w:tc>
        <w:tc>
          <w:tcPr>
            <w:vAlign w:val="top"/>
          </w:tcPr>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5" w:right="0" w:hanging="175"/>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0-350 rpm </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75" w:right="0" w:hanging="175"/>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0-1350 rpm</w:t>
            </w:r>
          </w:p>
        </w:tc>
      </w:tr>
      <w:tr>
        <w:trPr>
          <w:cantSplit w:val="0"/>
          <w:trHeight w:val="106" w:hRule="atLeast"/>
          <w:tblHeader w:val="0"/>
        </w:trPr>
        <w:tc>
          <w:tcP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Hmotnost (s akumulátorem)</w:t>
            </w:r>
          </w:p>
        </w:tc>
        <w:tc>
          <w:tcP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sdt>
              <w:sdtPr>
                <w:tag w:val="goog_rdk_1"/>
              </w:sdtPr>
              <w:sdtContent>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0,95 кг</w:t>
                </w:r>
              </w:sdtContent>
            </w:sdt>
          </w:p>
        </w:tc>
        <w:tc>
          <w:tcP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sdt>
              <w:sdtPr>
                <w:tag w:val="goog_rdk_2"/>
              </w:sdtPr>
              <w:sdtContent>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 кг</w:t>
                </w:r>
              </w:sdtContent>
            </w:sdt>
          </w:p>
        </w:tc>
      </w:tr>
      <w:tr>
        <w:trPr>
          <w:cantSplit w:val="0"/>
          <w:trHeight w:val="108" w:hRule="atLeast"/>
          <w:tblHeader w:val="0"/>
        </w:trPr>
        <w:tc>
          <w:tcPr>
            <w:gridSpan w:val="3"/>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Akumulátor</w:t>
            </w:r>
            <w:r w:rsidDel="00000000" w:rsidR="00000000" w:rsidRPr="00000000">
              <w:rPr>
                <w:rtl w:val="0"/>
              </w:rPr>
            </w:r>
          </w:p>
        </w:tc>
      </w:tr>
      <w:tr>
        <w:trPr>
          <w:cantSplit w:val="0"/>
          <w:trHeight w:val="106" w:hRule="atLeast"/>
          <w:tblHeader w:val="0"/>
        </w:trPr>
        <w:tc>
          <w:tcPr>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Typ akumulátoru</w:t>
            </w:r>
          </w:p>
        </w:tc>
        <w:tc>
          <w:tcP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Li-ion</w:t>
            </w:r>
          </w:p>
        </w:tc>
        <w:tc>
          <w:tcPr>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Li-ion</w:t>
            </w:r>
          </w:p>
        </w:tc>
      </w:tr>
      <w:tr>
        <w:trPr>
          <w:cantSplit w:val="0"/>
          <w:trHeight w:val="106" w:hRule="atLeast"/>
          <w:tblHeader w:val="0"/>
        </w:trPr>
        <w:tc>
          <w:tcP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kapacita, napětí</w:t>
            </w:r>
          </w:p>
        </w:tc>
        <w:tc>
          <w:tcPr>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sdt>
              <w:sdtPr>
                <w:tag w:val="goog_rdk_3"/>
              </w:sdtPr>
              <w:sdtContent>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 А</w:t>
                </w:r>
              </w:sdtContent>
            </w:sdt>
          </w:p>
        </w:tc>
        <w:tc>
          <w:tcP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sdt>
              <w:sdtPr>
                <w:tag w:val="goog_rdk_4"/>
              </w:sdtPr>
              <w:sdtContent>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 А</w:t>
                </w:r>
              </w:sdtContent>
            </w:sdt>
          </w:p>
        </w:tc>
      </w:tr>
      <w:tr>
        <w:trPr>
          <w:cantSplit w:val="0"/>
          <w:trHeight w:val="108" w:hRule="atLeast"/>
          <w:tblHeader w:val="0"/>
        </w:trPr>
        <w:tc>
          <w:tcPr>
            <w:gridSpan w:val="3"/>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Nabíječka</w:t>
            </w:r>
            <w:r w:rsidDel="00000000" w:rsidR="00000000" w:rsidRPr="00000000">
              <w:rPr>
                <w:rtl w:val="0"/>
              </w:rPr>
            </w:r>
          </w:p>
        </w:tc>
      </w:tr>
      <w:tr>
        <w:trPr>
          <w:cantSplit w:val="0"/>
          <w:trHeight w:val="106" w:hRule="atLeast"/>
          <w:tblHeader w:val="0"/>
        </w:trPr>
        <w:tc>
          <w:tcP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Napájecí napětí / frekvence </w:t>
            </w:r>
          </w:p>
        </w:tc>
        <w:tc>
          <w:tcPr>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21e1f"/>
                <w:sz w:val="18"/>
                <w:szCs w:val="18"/>
                <w:u w:val="none"/>
                <w:shd w:fill="auto" w:val="clear"/>
                <w:vertAlign w:val="baseline"/>
                <w:rtl w:val="0"/>
              </w:rPr>
              <w:t xml:space="preserve">220-240 V/50 Hz</w:t>
            </w:r>
            <w:r w:rsidDel="00000000" w:rsidR="00000000" w:rsidRPr="00000000">
              <w:rPr>
                <w:rtl w:val="0"/>
              </w:rPr>
            </w:r>
          </w:p>
        </w:tc>
        <w:tc>
          <w:tcPr>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221e1f"/>
                <w:sz w:val="18"/>
                <w:szCs w:val="18"/>
                <w:u w:val="none"/>
                <w:shd w:fill="auto" w:val="clear"/>
                <w:vertAlign w:val="baseline"/>
                <w:rtl w:val="0"/>
              </w:rPr>
              <w:t xml:space="preserve">220-240 V/50 Hz</w:t>
            </w:r>
            <w:r w:rsidDel="00000000" w:rsidR="00000000" w:rsidRPr="00000000">
              <w:rPr>
                <w:rtl w:val="0"/>
              </w:rPr>
            </w:r>
          </w:p>
        </w:tc>
      </w:tr>
      <w:tr>
        <w:trPr>
          <w:cantSplit w:val="0"/>
          <w:trHeight w:val="108" w:hRule="atLeast"/>
          <w:tblHeader w:val="0"/>
        </w:trPr>
        <w:tc>
          <w:tcPr>
            <w:gridSpan w:val="3"/>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Hluk a vibrace </w:t>
            </w:r>
            <w:r w:rsidDel="00000000" w:rsidR="00000000" w:rsidRPr="00000000">
              <w:rPr>
                <w:rtl w:val="0"/>
              </w:rPr>
            </w:r>
          </w:p>
        </w:tc>
      </w:tr>
      <w:tr>
        <w:trPr>
          <w:cantSplit w:val="0"/>
          <w:trHeight w:val="322" w:hRule="atLeast"/>
          <w:tblHeader w:val="0"/>
        </w:trPr>
        <w:tc>
          <w:tcP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Úroveň akustického tlaku dB(A)</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Úroveň akustického výkonu dB(A)</w:t>
            </w:r>
          </w:p>
        </w:tc>
        <w:tc>
          <w:tcP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LpA=78.6dB(A),</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LwA=89,6 dB(A)</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K=±3dB(A)</w:t>
            </w:r>
          </w:p>
        </w:tc>
        <w:tc>
          <w:tcPr>
            <w:vAlign w:val="top"/>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LpA=75,6 dB(A),</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LwA=86,6 dB(A)</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K=±3dB(A)</w:t>
            </w:r>
          </w:p>
        </w:tc>
      </w:tr>
      <w:tr>
        <w:trPr>
          <w:cantSplit w:val="0"/>
          <w:trHeight w:val="322" w:hRule="atLeast"/>
          <w:tblHeader w:val="0"/>
        </w:trPr>
        <w:tc>
          <w:tcPr>
            <w:vAlign w:val="top"/>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Vibrace</w:t>
            </w:r>
          </w:p>
        </w:tc>
        <w:tc>
          <w:tcPr>
            <w:vAlign w:val="top"/>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3,545 m/s</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5,592 m/s</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superscript"/>
                <w:rtl w:val="0"/>
              </w:rPr>
              <w:t xml:space="preserve">2</w:t>
            </w:r>
            <w:r w:rsidDel="00000000" w:rsidR="00000000" w:rsidRPr="00000000">
              <w:rPr>
                <w:rtl w:val="0"/>
              </w:rPr>
            </w:r>
          </w:p>
        </w:tc>
      </w:tr>
    </w:tbl>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otáčení (4 i 4a) Přepínání rozsahu otáček vřetena se provádí pomocí klíče 4 podle pokynů na krytu: - číslo 1 odpovídá nižšímu, - číslo 2 hornímu rozsahu. Pozor: Páku 4i klíč 4a můžete přepnout až po úplném zastavení vřetena.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UTAHOVACÍ RYCHLÍ MOMENT (2)</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1. Změna utahovacího momentu se provádí instalací kroužku 3 v poloze označené rámem na krytu: polohy 1 až 20 slouží k utažení 16 / uvolnění šroubů; poloha slouží k vrtání.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2. Nabíječka má speciální slot pro instalaci baterie. Baterie je zcela zasunuta do zásuvky nabíječky.</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3. Nástroj má podsvícení LED pro pracovní oblast.</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INSTALACE MOMENTU (3)</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Akumulátorový šroubovák má 20-polohové mechanické nastavení točivého momentu. Krouticí moment odpovídající velikosti šroubu se nastavuje pomocí regulátoru. Kroutící moment závisí na mnoha faktorech:</w:t>
      </w:r>
    </w:p>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705"/>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 typu a tvrdosti zpracovaného materiálu</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705"/>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 typu a délce použitých šroubů</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5" w:right="0" w:hanging="705"/>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od požadavků na připojení.</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Dosažení točivého momentu je signalizováno praskáním mimo rychlostní stupeň. Pozor! Pokud je zařízení v klidu, upravte kroužek pro nastavení točivého momentu.</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VRTÁNÍ</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Pro vrtání nastavte ovladač točivého momentu do poslední polohy Vrtání. V poloze Vrtání je kluzná spojka neaktivní. Při vrtání je k dispozici maximální točivý moment.</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PŘEPÍNAČ CHODU (4)</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Pomocí posuvného spínače umístěného nad spínačem můžete nastavit směr pohybu akumulátorového šroubováku a chránit jej před předčasným zapnutím. Můžete nastavit pohyb vlevo nebo vpravo. Aby se zabránilo poškození pohonu, je směr jízdy nastaven výhradně do vypnutého stavu. Pokud je spínač šroubováku ve střední poloze, znamená to, že je zajištěn.</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SPÍNAČ (1)</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Pomocí spínače můžete plynule ovládat rychlost. Čím více stisknete spínač, tím vyšší bude počet otáček akumulátorového šroubováku.</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USTANOVENÍ ŠROUBŮ</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Doporučuje se používat samostředící šrouby (například Toh, s křížovou drážkou), které zaručují spolehlivý provoz. Ujistěte se, že použitý hrot a šroub jsou vhodné tvaru a velikosti. Nastavení točivého momentu se provádí podle pokynů v návodu, podle velikosti šroubů.</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NABÍJENÍ BATERIE (8).</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Nabití baterie: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1. Stiskněte dvě boční tlačítka (vlevo a vpravo) na baterii a vytáhněte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ji směrem dolů a vyjměte z vrtačky / ovladače baterie.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2. Připojte nabíječku k napájení, rozsvítí se zelená LED.</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3. Při dodržení polarity vložte baterii do nabíječky.</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4. Při instalaci funkční baterie bliká červený indikátor.</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5. Po dokončení nabíjení se červený indikátor trvale rozsvítí.</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DÁVEJTE ZVLÁŠTNÍ POZOR.</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Udržujte baterii mimo kovové předměty.</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Nevkládejte baterii do blízkosti horkých předmětů.</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Nevhazujte jej do ohně ani do vody!</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Nerozebírejte baterii!</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DŘÍVE NEŽ ZAČNETE PRACOVAT</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Zkontrolujte funkci spínače.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Zapnutí: zatáhněte za spoušť (1). Vypnutí: uvolněte spínač spínače (1). Po uvolnění prstu z tlačítka vypínače se produkt automaticky a okamžitě zastaví.</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Pr>
        <w:drawing>
          <wp:inline distB="0" distT="0" distL="114300" distR="114300">
            <wp:extent cx="1421130" cy="1420495"/>
            <wp:effectExtent b="0" l="0" r="0" t="0"/>
            <wp:docPr id="105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421130" cy="142049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Při práci na povrchu s elektrickým zapojením vypněte všechny pojistky a / nebo jističe, kterými je do této pracovní oblasti dodávána elektrická energie.Zkontrolujte produkt, zda nedošlo k vzpříčení rotujících částí, poškození a dalších situacích, které nepříznivě ovlivňují provoz akumulátorové vrtačky.V případě zaseknutí okamžitě produkt vypněte, změňte směr otáčení, stiskněte tlačítko „Zap / Vyp“ a pomalu táhněte produkt směrem k sobě.Je přísně zakázáno dotýkat se rukou rotačního šroubu nebo trysek.Během instalace vrtáku se ujistěte, že je stopka správně umístěna na vačkách sklíčidla vrtačky. Neinstalujte nefunkční nebo opotřebované trysky.</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Pozor! Aby nedošlo k poškození baterie po zakoupení, musíte baterii plně nabít po dobu 1 / 2,5 hodiny!</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Po uvolnění prstu z tlačítka vypínače se produkt automaticky a okamžitě zastaví.</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PRAVIDLA PROVOZU A DOBA TRVÁNÍ SLUŽEB. MOŽNÉ NEFUNKCE.</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PÉČE A ÚDRŽBA!</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Udržujte ventilační otvory čisté. Vyčistěte je od prachu, nečistot a třísky. Udržujte části těla čisté.K otírání částí těla nepoužívejte žíravé chemikálie a kapaliny.Tento produkt může být provozován po dobu nejvýše 15 minut, pak musí být vypnutý po dobu 5 minut.Doporučuje se pracovat s výrobkem týdně po dobu maximálně 20 hodin. Podle výše uvedených doporučení je životnost 3 roky od data nákupu.</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POZOR! </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Během záruční doby nerozebírejte stroj!Pokud se vrták / tryska během provozu zasekne, vrták okamžitě vypněte, vrták uvolněte a pokračujte v práci.Během skladování, seřizování nebo výměny trysek je nutné odpojit baterii od produktu, přepínač „Zapnuto / Vypnuto“ musí být v poloze „Vypnuto“. Tím se snižuje pravděpodobnost náhodného zapnutí.</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ZKONTROLUJTE STAV SBĚRATELE.</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Při dlouhodobém skladování je kolektor pokryt oxidy, což zhoršuje přepínání (silné oblouky mezi kartáči a kolektorem) a v důsledku toho vede k předčasnému selhání kotvy motoru.</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KONTROLA STAVU KARTÁČŮ A JEJICH VÝMĚNA.</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Po 50 hodinách provozu stroje doporučujeme kontaktovat odborný servis a zkontrolovat stav kartáčů a v případě potřeby je vyměnit.</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tbl>
      <w:tblPr>
        <w:tblStyle w:val="Table3"/>
        <w:tblW w:w="6951.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2189"/>
        <w:gridCol w:w="2338"/>
        <w:gridCol w:w="2424"/>
        <w:tblGridChange w:id="0">
          <w:tblGrid>
            <w:gridCol w:w="2189"/>
            <w:gridCol w:w="2338"/>
            <w:gridCol w:w="2424"/>
          </w:tblGrid>
        </w:tblGridChange>
      </w:tblGrid>
      <w:tr>
        <w:trPr>
          <w:cantSplit w:val="0"/>
          <w:trHeight w:val="286" w:hRule="atLeast"/>
          <w:tblHeader w:val="0"/>
        </w:trPr>
        <w:tc>
          <w:tcP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Porucha</w:t>
            </w:r>
          </w:p>
        </w:tc>
        <w:tc>
          <w:tcP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Pravděpodobná příčina</w:t>
            </w:r>
          </w:p>
        </w:tc>
        <w:tc>
          <w:tcP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Náprava</w:t>
            </w:r>
          </w:p>
        </w:tc>
      </w:tr>
      <w:tr>
        <w:trPr>
          <w:cantSplit w:val="0"/>
          <w:trHeight w:val="150" w:hRule="atLeast"/>
          <w:tblHeader w:val="0"/>
        </w:trPr>
        <w:tc>
          <w:tcPr>
            <w:vMerge w:val="restart"/>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1. Stroj se nezapne</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Slabá baterie</w:t>
            </w:r>
          </w:p>
        </w:tc>
        <w:tc>
          <w:tcP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Vložte nabitou baterii</w:t>
            </w:r>
          </w:p>
        </w:tc>
      </w:tr>
      <w:tr>
        <w:trPr>
          <w:cantSplit w:val="0"/>
          <w:trHeight w:val="308" w:hRule="atLeast"/>
          <w:tblHeader w:val="0"/>
        </w:trPr>
        <w:tc>
          <w:tcPr>
            <w:vMerge w:val="continue"/>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Vadný spínač.</w:t>
            </w:r>
          </w:p>
        </w:tc>
        <w:tc>
          <w:tcPr>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Obraťte se na odborníka</w:t>
            </w:r>
          </w:p>
        </w:tc>
      </w:tr>
      <w:tr>
        <w:trPr>
          <w:cantSplit w:val="0"/>
          <w:trHeight w:val="166" w:hRule="atLeast"/>
          <w:tblHeader w:val="0"/>
        </w:trPr>
        <w:tc>
          <w:tcPr>
            <w:vMerge w:val="continue"/>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Vadný motor</w:t>
            </w:r>
          </w:p>
        </w:tc>
        <w:tc>
          <w:tcP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2" w:hRule="atLeast"/>
          <w:tblHeader w:val="0"/>
        </w:trPr>
        <w:tc>
          <w:tcPr>
            <w:vAlign w:val="top"/>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2. Snížený hluk</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převodovky</w:t>
            </w:r>
          </w:p>
        </w:tc>
        <w:tc>
          <w:tcPr>
            <w:vAlign w:val="top"/>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Opotřebované / rozbité</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díly převodovky</w:t>
            </w:r>
          </w:p>
        </w:tc>
        <w:tc>
          <w:tcP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98" w:hRule="atLeast"/>
          <w:tblHeader w:val="0"/>
        </w:trPr>
        <w:tc>
          <w:tcPr>
            <w:vMerge w:val="restart"/>
            <w:vAlign w:val="top"/>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3. Baterie nezískává</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potřebný náboj</w:t>
            </w:r>
          </w:p>
        </w:tc>
        <w:tc>
          <w:tcP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Nižší kapacita baterie</w:t>
            </w:r>
          </w:p>
        </w:tc>
        <w:tc>
          <w:tcP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Vyměnit baterii</w:t>
            </w:r>
          </w:p>
        </w:tc>
      </w:tr>
      <w:tr>
        <w:trPr>
          <w:cantSplit w:val="0"/>
          <w:trHeight w:val="530" w:hRule="atLeast"/>
          <w:tblHeader w:val="0"/>
        </w:trPr>
        <w:tc>
          <w:tcPr>
            <w:vMerge w:val="continue"/>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Porucha nabíječky</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zařízení</w:t>
            </w:r>
          </w:p>
        </w:tc>
        <w:tc>
          <w:tcPr>
            <w:vAlign w:val="top"/>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Obraťte se na</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odborníka</w:t>
            </w:r>
          </w:p>
        </w:tc>
      </w:tr>
    </w:tbl>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sectPr>
          <w:headerReference r:id="rId11" w:type="default"/>
          <w:type w:val="nextPage"/>
          <w:pgSz w:h="11907" w:w="8391" w:orient="portrait"/>
          <w:pgMar w:bottom="720" w:top="720" w:left="720" w:right="720" w:header="283" w:footer="283"/>
        </w:sect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sectPr>
          <w:headerReference r:id="rId12" w:type="default"/>
          <w:type w:val="nextPage"/>
          <w:pgSz w:h="11907" w:w="8391" w:orient="portrait"/>
          <w:pgMar w:bottom="720" w:top="720" w:left="720" w:right="720" w:header="283" w:footer="283"/>
        </w:sectPr>
      </w:pPr>
      <w:bookmarkStart w:colFirst="0" w:colLast="0" w:name="_heading=h.gjdgxs" w:id="0"/>
      <w:bookmarkEnd w:id="0"/>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70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4394"/>
        <w:tblGridChange w:id="0">
          <w:tblGrid>
            <w:gridCol w:w="2660"/>
            <w:gridCol w:w="4394"/>
          </w:tblGrid>
        </w:tblGridChange>
      </w:tblGrid>
      <w:tr>
        <w:trPr>
          <w:cantSplit w:val="0"/>
          <w:trHeight w:val="139" w:hRule="atLeast"/>
          <w:tblHeader w:val="0"/>
        </w:trPr>
        <w:tc>
          <w:tcPr>
            <w:gridSpan w:val="2"/>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ffffff"/>
                <w:sz w:val="16"/>
                <w:szCs w:val="16"/>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fffff"/>
                <w:sz w:val="16"/>
                <w:szCs w:val="16"/>
                <w:u w:val="none"/>
                <w:shd w:fill="auto" w:val="clear"/>
                <w:vertAlign w:val="baseline"/>
                <w:rtl w:val="0"/>
              </w:rPr>
              <w:t xml:space="preserve">ZÁRUČNÝ LIST</w:t>
            </w:r>
            <w:r w:rsidDel="00000000" w:rsidR="00000000" w:rsidRPr="00000000">
              <w:rPr>
                <w:rtl w:val="0"/>
              </w:rPr>
            </w:r>
          </w:p>
        </w:tc>
      </w:tr>
      <w:tr>
        <w:trPr>
          <w:cantSplit w:val="0"/>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6"/>
                <w:szCs w:val="16"/>
                <w:u w:val="none"/>
                <w:shd w:fill="auto" w:val="clear"/>
                <w:vertAlign w:val="baseline"/>
                <w:rtl w:val="0"/>
              </w:rPr>
              <w:t xml:space="preserve">Model:</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945"/>
              </w:tabs>
              <w:spacing w:after="0" w:before="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ab/>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1"/>
                    <w:i w:val="0"/>
                    <w:smallCaps w:val="0"/>
                    <w:strike w:val="0"/>
                    <w:color w:val="000000"/>
                    <w:sz w:val="16"/>
                    <w:szCs w:val="16"/>
                    <w:u w:val="none"/>
                    <w:shd w:fill="auto" w:val="clear"/>
                    <w:vertAlign w:val="baseline"/>
                    <w:rtl w:val="0"/>
                  </w:rPr>
                  <w:t xml:space="preserve">№ Série:</w:t>
                </w:r>
              </w:sdtContent>
            </w:sdt>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6"/>
                <w:szCs w:val="16"/>
                <w:u w:val="none"/>
                <w:shd w:fill="auto" w:val="clear"/>
                <w:vertAlign w:val="baseline"/>
                <w:rtl w:val="0"/>
              </w:rPr>
              <w:t xml:space="preserve">Dátum predaja:</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6"/>
                <w:szCs w:val="16"/>
                <w:u w:val="none"/>
                <w:shd w:fill="auto" w:val="clear"/>
                <w:vertAlign w:val="baseline"/>
                <w:rtl w:val="0"/>
              </w:rPr>
              <w:t xml:space="preserve">Skladovanie/Distribútor:</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6"/>
                <w:szCs w:val="16"/>
                <w:u w:val="none"/>
                <w:shd w:fill="auto" w:val="clear"/>
                <w:vertAlign w:val="baseline"/>
                <w:rtl w:val="0"/>
              </w:rPr>
              <w:t xml:space="preserve">Predajca:</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6"/>
                <w:szCs w:val="16"/>
                <w:u w:val="none"/>
                <w:shd w:fill="auto" w:val="clear"/>
                <w:vertAlign w:val="baseline"/>
                <w:rtl w:val="0"/>
              </w:rPr>
              <w:t xml:space="preserve">Názov kupujúceho(Spoločnosť):</w:t>
            </w:r>
            <w:r w:rsidDel="00000000" w:rsidR="00000000" w:rsidRPr="00000000">
              <w:rPr>
                <w:rtl w:val="0"/>
              </w:rPr>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sectPr>
          <w:headerReference r:id="rId13" w:type="default"/>
          <w:type w:val="nextPage"/>
          <w:pgSz w:h="11907" w:w="8391" w:orient="portrait"/>
          <w:pgMar w:bottom="720" w:top="720" w:left="720" w:right="720" w:header="283" w:footer="283"/>
        </w:sect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Nástroje Procraft sú v súlade s bezpečnostnými predpismi a predpismi o elektromagnetickej kompatibilite platnými v Bulharsku.</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Záruka je platná po dobu uvedenú v záručnom liste a začína plynúť odo dňa zakúpenia. Počas stanovenej záručnej doby musí byť servis vykonávaný bezplatne, ak sú závady spôsobené výrobnými chybami elektrického náradia zistené v určených certifikovaných opravovniach po celej krajine, ak je pôvodná záručná karta predložená v pokladni.</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Záruka sa neuznáva, ak sa výrobok nedá identifikovať, t.j. ak  štítok nie je možné  prečítať alebo  chýba.</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Kupujúci si musí podrobne prečítať prevádzkové pokyny, ktoré sú súčasťou elektrického náradia.</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5"/>
          <w:szCs w:val="15"/>
          <w:u w:val="none"/>
          <w:shd w:fill="auto" w:val="clear"/>
          <w:vertAlign w:val="baseline"/>
          <w:rtl w:val="0"/>
        </w:rPr>
        <w:t xml:space="preserve">DÔLEŽITÉ! </w:t>
      </w: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Pri kúpe nástroja Procraft požiadajte predajcu, aby skontroloval jeho stav a zostavenie. Takisto  sa uistite, že záruční list je vyplnený správne a že obchodná / predajná organizácia je označená pečiatkou. Uložte si pokladničný doklad.</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5"/>
          <w:szCs w:val="15"/>
          <w:u w:val="none"/>
          <w:shd w:fill="auto" w:val="clear"/>
          <w:vertAlign w:val="baseline"/>
          <w:rtl w:val="0"/>
        </w:rPr>
        <w:t xml:space="preserve">OPRAVU HRADÍ KUPUJÚCI PRI:</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Ak kupujúci nepredložil originál záručného lisu s pečiatkou a pokladničným dokladom potvrdzujúcim nákup elektrického náradia.</w:t>
      </w:r>
    </w:p>
    <w:p w:rsidR="00000000" w:rsidDel="00000000" w:rsidP="00000000" w:rsidRDefault="00000000" w:rsidRPr="00000000" w14:paraId="000000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Ak sa informácie uvedené na záručnom listu nezhodujú s informáciami na elektrickom nástroji.</w:t>
      </w:r>
    </w:p>
    <w:p w:rsidR="00000000" w:rsidDel="00000000" w:rsidP="00000000" w:rsidRDefault="00000000" w:rsidRPr="00000000" w14:paraId="000000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Ak  sa zistí porušenie vonkajšieho stavu elektrického náradia, vrátane:</w:t>
      </w:r>
    </w:p>
    <w:p w:rsidR="00000000" w:rsidDel="00000000" w:rsidP="00000000" w:rsidRDefault="00000000" w:rsidRPr="00000000" w14:paraId="000000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otvorenie elektrického náradia klientom alebo akoukoľvek neoprávnenou osobou.</w:t>
      </w:r>
    </w:p>
    <w:p w:rsidR="00000000" w:rsidDel="00000000" w:rsidP="00000000" w:rsidRDefault="00000000" w:rsidRPr="00000000" w14:paraId="000000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zlomený alebo  prasknutý prípad spôsobený šokom, pretlakom, abrazívnym alebo chemicky agresívnym prostredím alebo vysokou teplotou</w:t>
      </w:r>
    </w:p>
    <w:p w:rsidR="00000000" w:rsidDel="00000000" w:rsidP="00000000" w:rsidRDefault="00000000" w:rsidRPr="00000000" w14:paraId="000000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zlomené nebo zdeformované vreteno spôsobené nárazom alebo ostrým zaťažením.</w:t>
      </w:r>
    </w:p>
    <w:p w:rsidR="00000000" w:rsidDel="00000000" w:rsidP="00000000" w:rsidRDefault="00000000" w:rsidRPr="00000000" w14:paraId="000000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spínač je rozbitý alebo zaseknutý v dôsledku nárazu alebo vysokého tlaku;</w:t>
      </w:r>
    </w:p>
    <w:p w:rsidR="00000000" w:rsidDel="00000000" w:rsidP="00000000" w:rsidRDefault="00000000" w:rsidRPr="00000000" w14:paraId="000000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mechanické poškodenie alebo výmena kábla alebo zástrčky;</w:t>
      </w:r>
    </w:p>
    <w:p w:rsidR="00000000" w:rsidDel="00000000" w:rsidP="00000000" w:rsidRDefault="00000000" w:rsidRPr="00000000" w14:paraId="000000D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poškodenie vodou alebo ohňom spôsobené priamym kontaktom s vodou, ohňom alebo horiacim predmetom;</w:t>
      </w:r>
    </w:p>
    <w:p w:rsidR="00000000" w:rsidDel="00000000" w:rsidP="00000000" w:rsidRDefault="00000000" w:rsidRPr="00000000" w14:paraId="000000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silné znečistenie, vrátane kontaminácie vetracích otvorov, ktoré zasahuje do normá-lneho vetrania spôsobeného nedbanlivosťou a nedostatočnou starostlivosťou o elektrické náradie opísané v prevádzkovej  príručke;</w:t>
      </w:r>
    </w:p>
    <w:p w:rsidR="00000000" w:rsidDel="00000000" w:rsidP="00000000" w:rsidRDefault="00000000" w:rsidRPr="00000000" w14:paraId="000000E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poškodenie vnútorných pohyblivých prvkov spôsobené vrstveným prachom;</w:t>
      </w:r>
    </w:p>
    <w:p w:rsidR="00000000" w:rsidDel="00000000" w:rsidP="00000000" w:rsidRDefault="00000000" w:rsidRPr="00000000" w14:paraId="000000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poškodenie z preťaženia v dôsledku používania opotrebovaného, alebo nevhodného príslušenstva alebo spotrebného materiálu, nástrojov a príslušenstva;</w:t>
      </w:r>
    </w:p>
    <w:p w:rsidR="00000000" w:rsidDel="00000000" w:rsidP="00000000" w:rsidRDefault="00000000" w:rsidRPr="00000000" w14:paraId="000000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poškodenie vodiaceho valca noža spôsobené nesprávnou údržbou alebo mazaním.</w:t>
      </w:r>
    </w:p>
    <w:p w:rsidR="00000000" w:rsidDel="00000000" w:rsidP="00000000" w:rsidRDefault="00000000" w:rsidRPr="00000000" w14:paraId="000000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Ak sa  v elektrickom nástroji zistia vnútorné chyby:</w:t>
      </w:r>
    </w:p>
    <w:p w:rsidR="00000000" w:rsidDel="00000000" w:rsidP="00000000" w:rsidRDefault="00000000" w:rsidRPr="00000000" w14:paraId="000000E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poškodenie rotora a statora v dôsledku preťaženia alebo poruchy vetrania, ktoré vedú k rovnomernému zafarbeniu kolektora;</w:t>
      </w:r>
    </w:p>
    <w:p w:rsidR="00000000" w:rsidDel="00000000" w:rsidP="00000000" w:rsidRDefault="00000000" w:rsidRPr="00000000" w14:paraId="000000E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poškodenie rotora a statora, ktoré vedie k priľnavosti rotora a statora v dôsledku kontaminácie izolácie alebo kontaminácie držiakov  kief spôsobených nadmerným a dlhodobým preťažením;</w:t>
      </w:r>
    </w:p>
    <w:p w:rsidR="00000000" w:rsidDel="00000000" w:rsidP="00000000" w:rsidRDefault="00000000" w:rsidRPr="00000000" w14:paraId="000000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skrat.</w:t>
      </w:r>
    </w:p>
    <w:p w:rsidR="00000000" w:rsidDel="00000000" w:rsidP="00000000" w:rsidRDefault="00000000" w:rsidRPr="00000000" w14:paraId="000000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medzivrstva skrat.</w:t>
      </w:r>
    </w:p>
    <w:p w:rsidR="00000000" w:rsidDel="00000000" w:rsidP="00000000" w:rsidRDefault="00000000" w:rsidRPr="00000000" w14:paraId="000000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Ak nie je elektrické náradie skladované alebo prevádzkované v súlade s návodom na použitie.</w:t>
      </w:r>
    </w:p>
    <w:p w:rsidR="00000000" w:rsidDel="00000000" w:rsidP="00000000" w:rsidRDefault="00000000" w:rsidRPr="00000000" w14:paraId="000000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Pri detekcii akýchkoľvek vonkajších predmetov a predmetov v elektrickom nástroji, napríklad oblázky, piesok, hmyz atď.</w:t>
      </w:r>
    </w:p>
    <w:p w:rsidR="00000000" w:rsidDel="00000000" w:rsidP="00000000" w:rsidRDefault="00000000" w:rsidRPr="00000000" w14:paraId="000000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Pri výmene náhradných dielov, ako sú grafitové kefky, ložiská, počas záručnej doby.</w:t>
      </w:r>
    </w:p>
    <w:p w:rsidR="00000000" w:rsidDel="00000000" w:rsidP="00000000" w:rsidRDefault="00000000" w:rsidRPr="00000000" w14:paraId="000000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Záruka sa nevzťahuje na: batérie a nabíjačky s trvaním záruky šesť mesiacov.</w:t>
      </w:r>
    </w:p>
    <w:p w:rsidR="00000000" w:rsidDel="00000000" w:rsidP="00000000" w:rsidRDefault="00000000" w:rsidRPr="00000000" w14:paraId="000000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5"/>
          <w:szCs w:val="15"/>
          <w:u w:val="none"/>
          <w:shd w:fill="auto" w:val="clear"/>
          <w:vertAlign w:val="baseline"/>
          <w:rtl w:val="0"/>
        </w:rPr>
        <w:t xml:space="preserve">Záruka sa nevzťahuje na preventívnu údržbu v servisných strediskách (čistenie, umývanie, výmena kief, pasov , mazanie).</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284" w:right="0" w:firstLine="0"/>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Fonts w:ascii="Quattrocento Sans" w:cs="Quattrocento Sans" w:eastAsia="Quattrocento Sans" w:hAnsi="Quattrocento Sans"/>
          <w:b w:val="1"/>
          <w:i w:val="1"/>
          <w:smallCaps w:val="0"/>
          <w:strike w:val="0"/>
          <w:color w:val="000000"/>
          <w:sz w:val="15"/>
          <w:szCs w:val="15"/>
          <w:u w:val="none"/>
          <w:shd w:fill="auto" w:val="clear"/>
          <w:vertAlign w:val="baseline"/>
          <w:rtl w:val="0"/>
        </w:rPr>
        <w:t xml:space="preserve">Pri nákupe bol elektrický nástroj skontrolovaný a bol prijatý v perfektnom technickom stave, v perfektnom vzhľade bez viditeľného poškodenia, plne vybavený podľa jeho popisu.</w: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Quattrocento Sans" w:cs="Quattrocento Sans" w:eastAsia="Quattrocento Sans" w:hAnsi="Quattrocento Sans"/>
          <w:b w:val="0"/>
          <w:i w:val="0"/>
          <w:smallCaps w:val="0"/>
          <w:strike w:val="0"/>
          <w:color w:val="000000"/>
          <w:sz w:val="15"/>
          <w:szCs w:val="15"/>
          <w:u w:val="none"/>
          <w:shd w:fill="auto" w:val="clear"/>
          <w:vertAlign w:val="baseline"/>
        </w:rPr>
        <w:sectPr>
          <w:type w:val="continuous"/>
          <w:pgSz w:h="11907" w:w="8391" w:orient="portrait"/>
          <w:pgMar w:bottom="720" w:top="720" w:left="720" w:right="720" w:header="283" w:footer="283"/>
          <w:cols w:equalWidth="0" w:num="2">
            <w:col w:space="117" w:w="3417"/>
            <w:col w:space="0" w:w="3417"/>
          </w:cols>
        </w:sectPr>
      </w:pPr>
      <w:r w:rsidDel="00000000" w:rsidR="00000000" w:rsidRPr="00000000">
        <w:rPr>
          <w:rFonts w:ascii="Quattrocento Sans" w:cs="Quattrocento Sans" w:eastAsia="Quattrocento Sans" w:hAnsi="Quattrocento Sans"/>
          <w:b w:val="1"/>
          <w:i w:val="1"/>
          <w:smallCaps w:val="0"/>
          <w:strike w:val="0"/>
          <w:color w:val="000000"/>
          <w:sz w:val="15"/>
          <w:szCs w:val="15"/>
          <w:u w:val="none"/>
          <w:shd w:fill="auto" w:val="clear"/>
          <w:vertAlign w:val="baseline"/>
          <w:rtl w:val="0"/>
        </w:rPr>
        <w:t xml:space="preserve">Som oboznámený s podmienkami používania a záručnými podmienkami a súhlasím s nimi</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000000"/>
          <w:sz w:val="15"/>
          <w:szCs w:val="15"/>
          <w:u w:val="none"/>
          <w:shd w:fill="auto" w:val="clear"/>
          <w:vertAlign w:val="baseline"/>
        </w:rPr>
      </w:pPr>
      <w:r w:rsidDel="00000000" w:rsidR="00000000" w:rsidRPr="00000000">
        <w:rPr>
          <w:rtl w:val="0"/>
        </w:rPr>
      </w:r>
    </w:p>
    <w:tbl>
      <w:tblPr>
        <w:tblStyle w:val="Table5"/>
        <w:tblW w:w="69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8"/>
        <w:gridCol w:w="1728"/>
        <w:gridCol w:w="1728"/>
        <w:gridCol w:w="1728"/>
        <w:tblGridChange w:id="0">
          <w:tblGrid>
            <w:gridCol w:w="1728"/>
            <w:gridCol w:w="1728"/>
            <w:gridCol w:w="1728"/>
            <w:gridCol w:w="1728"/>
          </w:tblGrid>
        </w:tblGridChange>
      </w:tblGrid>
      <w:tr>
        <w:trPr>
          <w:cantSplit w:val="0"/>
          <w:trHeight w:val="276" w:hRule="atLeast"/>
          <w:tblHeader w:val="0"/>
        </w:trPr>
        <w:tc>
          <w:tcPr>
            <w:shd w:fill="808080" w:val="clear"/>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ffffff"/>
                <w:sz w:val="16"/>
                <w:szCs w:val="16"/>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fffff"/>
                <w:sz w:val="16"/>
                <w:szCs w:val="16"/>
                <w:u w:val="none"/>
                <w:shd w:fill="auto" w:val="clear"/>
                <w:vertAlign w:val="baseline"/>
                <w:rtl w:val="0"/>
              </w:rPr>
              <w:t xml:space="preserve">DÄTUM PRIJATIA</w:t>
            </w:r>
            <w:r w:rsidDel="00000000" w:rsidR="00000000" w:rsidRPr="00000000">
              <w:rPr>
                <w:rtl w:val="0"/>
              </w:rPr>
            </w:r>
          </w:p>
        </w:tc>
        <w:tc>
          <w:tcPr>
            <w:shd w:fill="808080" w:val="clear"/>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ffffff"/>
                <w:sz w:val="16"/>
                <w:szCs w:val="16"/>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fffff"/>
                <w:sz w:val="16"/>
                <w:szCs w:val="16"/>
                <w:u w:val="none"/>
                <w:shd w:fill="auto" w:val="clear"/>
                <w:vertAlign w:val="baseline"/>
                <w:rtl w:val="0"/>
              </w:rPr>
              <w:t xml:space="preserve">DÁTUM VYDANIA</w:t>
            </w:r>
            <w:r w:rsidDel="00000000" w:rsidR="00000000" w:rsidRPr="00000000">
              <w:rPr>
                <w:rtl w:val="0"/>
              </w:rPr>
            </w:r>
          </w:p>
        </w:tc>
        <w:tc>
          <w:tcPr>
            <w:shd w:fill="808080" w:val="clear"/>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ffffff"/>
                <w:sz w:val="16"/>
                <w:szCs w:val="16"/>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fffff"/>
                <w:sz w:val="16"/>
                <w:szCs w:val="16"/>
                <w:u w:val="none"/>
                <w:shd w:fill="auto" w:val="clear"/>
                <w:vertAlign w:val="baseline"/>
                <w:rtl w:val="0"/>
              </w:rPr>
              <w:t xml:space="preserve">OPIS OPRAVY</w:t>
            </w:r>
            <w:r w:rsidDel="00000000" w:rsidR="00000000" w:rsidRPr="00000000">
              <w:rPr>
                <w:rtl w:val="0"/>
              </w:rPr>
            </w:r>
          </w:p>
        </w:tc>
        <w:tc>
          <w:tcPr>
            <w:shd w:fill="808080" w:val="clear"/>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ffffff"/>
                <w:sz w:val="16"/>
                <w:szCs w:val="16"/>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fffff"/>
                <w:sz w:val="16"/>
                <w:szCs w:val="16"/>
                <w:u w:val="none"/>
                <w:shd w:fill="auto" w:val="clear"/>
                <w:vertAlign w:val="baseline"/>
                <w:rtl w:val="0"/>
              </w:rPr>
              <w:t xml:space="preserve">PODPIS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12" w:before="12"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12" w:before="12"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12" w:before="12"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12" w:before="12"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12" w:before="12"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12" w:before="12"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12" w:before="12"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12" w:before="12"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12" w:before="12"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12" w:before="12"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12" w:before="12"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12" w:before="12" w:line="240" w:lineRule="auto"/>
              <w:ind w:left="0" w:right="0" w:firstLine="0"/>
              <w:jc w:val="left"/>
              <w:rPr>
                <w:rFonts w:ascii="Quattrocento Sans" w:cs="Quattrocento Sans" w:eastAsia="Quattrocento Sans" w:hAnsi="Quattrocento Sans"/>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Quattrocento Sans" w:cs="Quattrocento Sans" w:eastAsia="Quattrocento Sans" w:hAnsi="Quattrocento Sans"/>
          <w:b w:val="0"/>
          <w:i w:val="0"/>
          <w:smallCaps w:val="0"/>
          <w:strike w:val="0"/>
          <w:color w:val="000000"/>
          <w:sz w:val="15"/>
          <w:szCs w:val="15"/>
          <w:u w:val="none"/>
          <w:shd w:fill="auto" w:val="clear"/>
          <w:vertAlign w:val="baseline"/>
        </w:rPr>
        <w:sectPr>
          <w:type w:val="continuous"/>
          <w:pgSz w:h="11907" w:w="8391" w:orient="portrait"/>
          <w:pgMar w:bottom="720" w:top="720" w:left="720" w:right="720" w:header="283" w:footer="283"/>
        </w:sect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sectPr>
      <w:headerReference r:id="rId14" w:type="first"/>
      <w:type w:val="nextPage"/>
      <w:pgSz w:h="11907" w:w="8391" w:orient="portrait"/>
      <w:pgMar w:bottom="720" w:top="720" w:left="720" w:right="720" w:header="283" w:footer="28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Times New Roman"/>
  <w:font w:name="Courier New"/>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CZ|ČEŠTINA</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12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458595" cy="280670"/>
          <wp:effectExtent b="0" l="0" r="0" t="0"/>
          <wp:docPr descr="Procraft_2.jpg" id="1058" name="image2.jpg"/>
          <a:graphic>
            <a:graphicData uri="http://schemas.openxmlformats.org/drawingml/2006/picture">
              <pic:pic>
                <pic:nvPicPr>
                  <pic:cNvPr descr="Procraft_2.jpg" id="0" name="image2.jpg"/>
                  <pic:cNvPicPr preferRelativeResize="0"/>
                </pic:nvPicPr>
                <pic:blipFill>
                  <a:blip r:embed="rId3"/>
                  <a:srcRect b="0" l="0" r="0" t="0"/>
                  <a:stretch>
                    <a:fillRect/>
                  </a:stretch>
                </pic:blipFill>
                <pic:spPr>
                  <a:xfrm>
                    <a:off x="0" y="0"/>
                    <a:ext cx="1458595" cy="280670"/>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458595" cy="280670"/>
          <wp:effectExtent b="0" l="0" r="0" t="0"/>
          <wp:docPr descr="Procraft_2.jpg" id="1061" name="image3.jpg"/>
          <a:graphic>
            <a:graphicData uri="http://schemas.openxmlformats.org/drawingml/2006/picture">
              <pic:pic>
                <pic:nvPicPr>
                  <pic:cNvPr descr="Procraft_2.jpg" id="0" name="image3.jpg"/>
                  <pic:cNvPicPr preferRelativeResize="0"/>
                </pic:nvPicPr>
                <pic:blipFill>
                  <a:blip r:embed="rId3"/>
                  <a:srcRect b="0" l="0" r="0" t="0"/>
                  <a:stretch>
                    <a:fillRect/>
                  </a:stretch>
                </pic:blipFill>
                <pic:spPr>
                  <a:xfrm>
                    <a:off x="0" y="0"/>
                    <a:ext cx="1458595" cy="280670"/>
                  </a:xfrm>
                  <a:prstGeom prst="rect"/>
                  <a:ln/>
                </pic:spPr>
              </pic:pic>
            </a:graphicData>
          </a:graphic>
        </wp:inline>
      </w:drawing>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CZ|ČEŠTINA</w: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363345" cy="261620"/>
          <wp:effectExtent b="0" l="0" r="0" t="0"/>
          <wp:docPr descr="Procraft_2.jpg" id="1060" name="image5.jpg"/>
          <a:graphic>
            <a:graphicData uri="http://schemas.openxmlformats.org/drawingml/2006/picture">
              <pic:pic>
                <pic:nvPicPr>
                  <pic:cNvPr descr="Procraft_2.jpg" id="0" name="image5.jpg"/>
                  <pic:cNvPicPr preferRelativeResize="0"/>
                </pic:nvPicPr>
                <pic:blipFill>
                  <a:blip r:embed="rId3"/>
                  <a:srcRect b="0" l="0" r="0" t="0"/>
                  <a:stretch>
                    <a:fillRect/>
                  </a:stretch>
                </pic:blipFill>
                <pic:spPr>
                  <a:xfrm>
                    <a:off x="0" y="0"/>
                    <a:ext cx="1363345" cy="26162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487" w:hanging="360"/>
      </w:pPr>
      <w:rPr>
        <w:b w:val="1"/>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lvl w:ilvl="0">
      <w:start w:val="1"/>
      <w:numFmt w:val="decimal"/>
      <w:lvlText w:val="%1."/>
      <w:lvlJc w:val="left"/>
      <w:pPr>
        <w:ind w:left="720" w:hanging="360"/>
      </w:pPr>
      <w:rPr>
        <w:vertAlign w:val="baseline"/>
      </w:rPr>
    </w:lvl>
    <w:lvl w:ilvl="1">
      <w:start w:val="5"/>
      <w:numFmt w:val="bullet"/>
      <w:lvlText w:val="•"/>
      <w:lvlJc w:val="left"/>
      <w:pPr>
        <w:ind w:left="1440" w:hanging="360"/>
      </w:pPr>
      <w:rPr>
        <w:rFonts w:ascii="Quattrocento Sans" w:cs="Quattrocento Sans" w:eastAsia="Quattrocento Sans" w:hAnsi="Quattrocento San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0"/>
      <w:numFmt w:val="bullet"/>
      <w:lvlText w:val="●"/>
      <w:lvlJc w:val="left"/>
      <w:pPr>
        <w:ind w:left="1065" w:hanging="705"/>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Обычный">
    <w:name w:val="Обычный"/>
    <w:next w:val="Обычный"/>
    <w:autoRedefine w:val="0"/>
    <w:hidden w:val="0"/>
    <w:qFormat w:val="0"/>
    <w:pPr>
      <w:widowControl w:val="0"/>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hi-IN" w:eastAsia="hi-IN" w:val="ru-RU"/>
    </w:rPr>
  </w:style>
  <w:style w:type="paragraph" w:styleId="Заголовок1">
    <w:name w:val="Заголовок 1"/>
    <w:basedOn w:val="Обычный"/>
    <w:next w:val="Обычный"/>
    <w:autoRedefine w:val="0"/>
    <w:hidden w:val="0"/>
    <w:qFormat w:val="0"/>
    <w:pPr>
      <w:keepNext w:val="1"/>
      <w:widowControl w:val="0"/>
      <w:suppressAutoHyphens w:val="0"/>
      <w:spacing w:after="60" w:before="240" w:line="1" w:lineRule="atLeast"/>
      <w:ind w:leftChars="-1" w:rightChars="0" w:firstLineChars="-1"/>
      <w:textDirection w:val="btLr"/>
      <w:textAlignment w:val="top"/>
      <w:outlineLvl w:val="0"/>
    </w:pPr>
    <w:rPr>
      <w:rFonts w:ascii="Cambria" w:cs="Mangal" w:eastAsia="Times New Roman" w:hAnsi="Cambria"/>
      <w:b w:val="1"/>
      <w:bCs w:val="1"/>
      <w:w w:val="100"/>
      <w:kern w:val="32"/>
      <w:position w:val="-1"/>
      <w:sz w:val="32"/>
      <w:szCs w:val="29"/>
      <w:effect w:val="none"/>
      <w:vertAlign w:val="baseline"/>
      <w:cs w:val="0"/>
      <w:em w:val="none"/>
      <w:lang w:bidi="hi-IN" w:eastAsia="hi-IN"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Обычнаятаблица"/>
      <w:jc w:val="left"/>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character" w:styleId="Заголовок1Знак">
    <w:name w:val="Заголовок 1 Знак"/>
    <w:next w:val="Заголовок1Знак"/>
    <w:autoRedefine w:val="0"/>
    <w:hidden w:val="0"/>
    <w:qFormat w:val="0"/>
    <w:rPr>
      <w:rFonts w:ascii="Cambria" w:cs="Mangal" w:eastAsia="Times New Roman" w:hAnsi="Cambria"/>
      <w:b w:val="1"/>
      <w:bCs w:val="1"/>
      <w:w w:val="100"/>
      <w:kern w:val="32"/>
      <w:position w:val="-1"/>
      <w:sz w:val="32"/>
      <w:szCs w:val="29"/>
      <w:effect w:val="none"/>
      <w:vertAlign w:val="baseline"/>
      <w:cs w:val="0"/>
      <w:em w:val="none"/>
      <w:lang w:bidi="hi-IN" w:eastAsia="hi-IN"/>
    </w:rPr>
  </w:style>
  <w:style w:type="character" w:styleId="Гиперссылка">
    <w:name w:val="Гиперссылка"/>
    <w:next w:val="Гиперссылка"/>
    <w:autoRedefine w:val="0"/>
    <w:hidden w:val="0"/>
    <w:qFormat w:val="1"/>
    <w:rPr>
      <w:color w:val="0000ff"/>
      <w:w w:val="100"/>
      <w:position w:val="-1"/>
      <w:u w:val="single"/>
      <w:effect w:val="none"/>
      <w:vertAlign w:val="baseline"/>
      <w:cs w:val="0"/>
      <w:em w:val="none"/>
      <w:lang/>
    </w:rPr>
  </w:style>
  <w:style w:type="paragraph" w:styleId="Верхнийколонтитул">
    <w:name w:val="Верхний колонтитул"/>
    <w:basedOn w:val="Обычный"/>
    <w:next w:val="Верхнийколонтитул"/>
    <w:autoRedefine w:val="0"/>
    <w:hidden w:val="0"/>
    <w:qFormat w:val="1"/>
    <w:pPr>
      <w:widowControl w:val="0"/>
      <w:tabs>
        <w:tab w:val="center" w:leader="none" w:pos="4677"/>
        <w:tab w:val="right" w:leader="none" w:pos="9355"/>
      </w:tabs>
      <w:suppressAutoHyphens w:val="0"/>
      <w:spacing w:line="1" w:lineRule="atLeast"/>
      <w:ind w:leftChars="-1" w:rightChars="0" w:firstLineChars="-1"/>
      <w:textDirection w:val="btLr"/>
      <w:textAlignment w:val="top"/>
      <w:outlineLvl w:val="0"/>
    </w:pPr>
    <w:rPr>
      <w:w w:val="100"/>
      <w:kern w:val="1"/>
      <w:position w:val="-1"/>
      <w:sz w:val="24"/>
      <w:szCs w:val="21"/>
      <w:effect w:val="none"/>
      <w:vertAlign w:val="baseline"/>
      <w:cs w:val="0"/>
      <w:em w:val="none"/>
      <w:lang w:bidi="hi-IN" w:eastAsia="hi-IN" w:val="ru-RU"/>
    </w:rPr>
  </w:style>
  <w:style w:type="character" w:styleId="ВерхнийколонтитулЗнак">
    <w:name w:val="Верхний колонтитул Знак"/>
    <w:next w:val="ВерхнийколонтитулЗнак"/>
    <w:autoRedefine w:val="0"/>
    <w:hidden w:val="0"/>
    <w:qFormat w:val="0"/>
    <w:rPr>
      <w:w w:val="100"/>
      <w:kern w:val="1"/>
      <w:position w:val="-1"/>
      <w:sz w:val="24"/>
      <w:szCs w:val="21"/>
      <w:effect w:val="none"/>
      <w:vertAlign w:val="baseline"/>
      <w:cs w:val="0"/>
      <w:em w:val="none"/>
      <w:lang w:bidi="hi-IN" w:eastAsia="hi-IN"/>
    </w:rPr>
  </w:style>
  <w:style w:type="paragraph" w:styleId="Основнойтекст">
    <w:name w:val="Основной текст"/>
    <w:basedOn w:val="Обычный"/>
    <w:next w:val="Основнойтекст"/>
    <w:autoRedefine w:val="0"/>
    <w:hidden w:val="0"/>
    <w:qFormat w:val="0"/>
    <w:pPr>
      <w:widowControl w:val="0"/>
      <w:suppressAutoHyphens w:val="0"/>
      <w:spacing w:after="120" w:before="0"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hi-IN" w:eastAsia="hi-IN" w:val="ru-RU"/>
    </w:rPr>
  </w:style>
  <w:style w:type="paragraph" w:styleId="Оглавление1">
    <w:name w:val="Оглавление 1"/>
    <w:basedOn w:val="Обычный"/>
    <w:next w:val="Обычный"/>
    <w:autoRedefine w:val="0"/>
    <w:hidden w:val="0"/>
    <w:qFormat w:val="1"/>
    <w:pPr>
      <w:widowControl w:val="0"/>
      <w:suppressAutoHyphens w:val="0"/>
      <w:spacing w:line="1" w:lineRule="atLeast"/>
      <w:ind w:leftChars="-1" w:rightChars="0" w:firstLineChars="-1"/>
      <w:textDirection w:val="btLr"/>
      <w:textAlignment w:val="top"/>
      <w:outlineLvl w:val="0"/>
    </w:pPr>
    <w:rPr>
      <w:w w:val="100"/>
      <w:kern w:val="1"/>
      <w:position w:val="-1"/>
      <w:sz w:val="24"/>
      <w:szCs w:val="21"/>
      <w:effect w:val="none"/>
      <w:vertAlign w:val="baseline"/>
      <w:cs w:val="0"/>
      <w:em w:val="none"/>
      <w:lang w:bidi="hi-IN" w:eastAsia="hi-IN" w:val="ru-RU"/>
    </w:rPr>
  </w:style>
  <w:style w:type="paragraph" w:styleId="Заголовок">
    <w:name w:val="Заголовок"/>
    <w:basedOn w:val="Обычный"/>
    <w:next w:val="Основнойтекст"/>
    <w:autoRedefine w:val="0"/>
    <w:hidden w:val="0"/>
    <w:qFormat w:val="0"/>
    <w:pPr>
      <w:keepNext w:val="1"/>
      <w:widowControl w:val="0"/>
      <w:suppressAutoHyphens w:val="0"/>
      <w:spacing w:after="120" w:before="240" w:line="1" w:lineRule="atLeast"/>
      <w:ind w:leftChars="-1" w:rightChars="0" w:firstLineChars="-1"/>
      <w:textDirection w:val="btLr"/>
      <w:textAlignment w:val="top"/>
      <w:outlineLvl w:val="0"/>
    </w:pPr>
    <w:rPr>
      <w:rFonts w:ascii="Arial" w:cs="Mangal" w:eastAsia="Microsoft YaHei" w:hAnsi="Arial"/>
      <w:w w:val="100"/>
      <w:kern w:val="1"/>
      <w:position w:val="-1"/>
      <w:sz w:val="28"/>
      <w:szCs w:val="28"/>
      <w:effect w:val="none"/>
      <w:vertAlign w:val="baseline"/>
      <w:cs w:val="0"/>
      <w:em w:val="none"/>
      <w:lang w:bidi="hi-IN" w:eastAsia="hi-IN" w:val="ru-RU"/>
    </w:rPr>
  </w:style>
  <w:style w:type="paragraph" w:styleId="Нижнийколонтитул">
    <w:name w:val="Нижний колонтитул"/>
    <w:basedOn w:val="Обычный"/>
    <w:next w:val="Нижнийколонтитул"/>
    <w:autoRedefine w:val="0"/>
    <w:hidden w:val="0"/>
    <w:qFormat w:val="1"/>
    <w:pPr>
      <w:widowControl w:val="0"/>
      <w:tabs>
        <w:tab w:val="center" w:leader="none" w:pos="4677"/>
        <w:tab w:val="right" w:leader="none" w:pos="9355"/>
      </w:tabs>
      <w:suppressAutoHyphens w:val="0"/>
      <w:spacing w:line="1" w:lineRule="atLeast"/>
      <w:ind w:leftChars="-1" w:rightChars="0" w:firstLineChars="-1"/>
      <w:textDirection w:val="btLr"/>
      <w:textAlignment w:val="top"/>
      <w:outlineLvl w:val="0"/>
    </w:pPr>
    <w:rPr>
      <w:w w:val="100"/>
      <w:kern w:val="1"/>
      <w:position w:val="-1"/>
      <w:sz w:val="24"/>
      <w:szCs w:val="21"/>
      <w:effect w:val="none"/>
      <w:vertAlign w:val="baseline"/>
      <w:cs w:val="0"/>
      <w:em w:val="none"/>
      <w:lang w:bidi="hi-IN" w:eastAsia="hi-IN" w:val="ru-RU"/>
    </w:rPr>
  </w:style>
  <w:style w:type="character" w:styleId="НижнийколонтитулЗнак">
    <w:name w:val="Нижний колонтитул Знак"/>
    <w:next w:val="НижнийколонтитулЗнак"/>
    <w:autoRedefine w:val="0"/>
    <w:hidden w:val="0"/>
    <w:qFormat w:val="0"/>
    <w:rPr>
      <w:w w:val="100"/>
      <w:kern w:val="1"/>
      <w:position w:val="-1"/>
      <w:sz w:val="24"/>
      <w:szCs w:val="21"/>
      <w:effect w:val="none"/>
      <w:vertAlign w:val="baseline"/>
      <w:cs w:val="0"/>
      <w:em w:val="none"/>
      <w:lang w:bidi="hi-IN" w:eastAsia="hi-IN"/>
    </w:rPr>
  </w:style>
  <w:style w:type="paragraph" w:styleId="Список">
    <w:name w:val="Список"/>
    <w:basedOn w:val="Основнойтекст"/>
    <w:next w:val="Список"/>
    <w:autoRedefine w:val="0"/>
    <w:hidden w:val="0"/>
    <w:qFormat w:val="0"/>
    <w:pPr>
      <w:widowControl w:val="0"/>
      <w:suppressAutoHyphens w:val="0"/>
      <w:spacing w:after="120" w:before="0"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hi-IN" w:eastAsia="hi-IN" w:val="ru-RU"/>
    </w:rPr>
  </w:style>
  <w:style w:type="paragraph" w:styleId="Обычный(Интернет)">
    <w:name w:val="Обычный (Интернет)"/>
    <w:basedOn w:val="Обычный"/>
    <w:next w:val="Обычный(Интернет)"/>
    <w:autoRedefine w:val="0"/>
    <w:hidden w:val="0"/>
    <w:qFormat w:val="1"/>
    <w:pPr>
      <w:widowControl w:val="1"/>
      <w:suppressAutoHyphens w:val="1"/>
      <w:spacing w:after="100" w:afterAutospacing="1" w:before="100" w:beforeAutospacing="1" w:line="1" w:lineRule="atLeast"/>
      <w:ind w:leftChars="-1" w:rightChars="0" w:firstLineChars="-1"/>
      <w:textDirection w:val="btLr"/>
      <w:textAlignment w:val="top"/>
      <w:outlineLvl w:val="0"/>
    </w:pPr>
    <w:rPr>
      <w:w w:val="100"/>
      <w:kern w:val="0"/>
      <w:position w:val="-1"/>
      <w:sz w:val="24"/>
      <w:szCs w:val="24"/>
      <w:effect w:val="none"/>
      <w:vertAlign w:val="baseline"/>
      <w:cs w:val="0"/>
      <w:em w:val="none"/>
      <w:lang w:bidi="ar-SA" w:eastAsia="en-US" w:val="en-US"/>
    </w:rPr>
  </w:style>
  <w:style w:type="table" w:styleId="Сеткатаблицы">
    <w:name w:val="Сетка таблицы"/>
    <w:basedOn w:val="Обычнаятаблица"/>
    <w:next w:val="Сеткатаблицы"/>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Сеткатаблицы"/>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WW8Num1z0">
    <w:name w:val="WW8Num1z0"/>
    <w:next w:val="WW8Num1z0"/>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WW8Num2z0">
    <w:name w:val="WW8Num2z0"/>
    <w:next w:val="WW8Num2z0"/>
    <w:autoRedefine w:val="0"/>
    <w:hidden w:val="0"/>
    <w:qFormat w:val="0"/>
    <w:rPr>
      <w:rFonts w:ascii="Microsoft Sans Serif" w:cs="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WW8Num3z0">
    <w:name w:val="WW8Num3z0"/>
    <w:next w:val="WW8Num3z0"/>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WW8Num4z0">
    <w:name w:val="WW8Num4z0"/>
    <w:next w:val="WW8Num4z0"/>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WW8Num5z0">
    <w:name w:val="WW8Num5z0"/>
    <w:next w:val="WW8Num5z0"/>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WW8Num6z0">
    <w:name w:val="WW8Num6z0"/>
    <w:next w:val="WW8Num6z0"/>
    <w:autoRedefine w:val="0"/>
    <w:hidden w:val="0"/>
    <w:qFormat w:val="0"/>
    <w:rPr>
      <w:rFonts w:ascii="Microsoft Sans Serif" w:cs="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WW8Num7z0">
    <w:name w:val="WW8Num7z0"/>
    <w:next w:val="WW8Num7z0"/>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WW8Num8z0">
    <w:name w:val="WW8Num8z0"/>
    <w:next w:val="WW8Num8z0"/>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WW8Num9z0">
    <w:name w:val="WW8Num9z0"/>
    <w:next w:val="WW8Num9z0"/>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21">
    <w:name w:val="RTF_Num 2 1"/>
    <w:next w:val="RTF_Num21"/>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22">
    <w:name w:val="RTF_Num 2 2"/>
    <w:next w:val="RTF_Num22"/>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23">
    <w:name w:val="RTF_Num 2 3"/>
    <w:next w:val="RTF_Num23"/>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24">
    <w:name w:val="RTF_Num 2 4"/>
    <w:next w:val="RTF_Num24"/>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25">
    <w:name w:val="RTF_Num 2 5"/>
    <w:next w:val="RTF_Num25"/>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26">
    <w:name w:val="RTF_Num 2 6"/>
    <w:next w:val="RTF_Num26"/>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27">
    <w:name w:val="RTF_Num 2 7"/>
    <w:next w:val="RTF_Num27"/>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28">
    <w:name w:val="RTF_Num 2 8"/>
    <w:next w:val="RTF_Num28"/>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29">
    <w:name w:val="RTF_Num 2 9"/>
    <w:next w:val="RTF_Num29"/>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31">
    <w:name w:val="RTF_Num 3 1"/>
    <w:next w:val="RTF_Num31"/>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32">
    <w:name w:val="RTF_Num 3 2"/>
    <w:next w:val="RTF_Num32"/>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33">
    <w:name w:val="RTF_Num 3 3"/>
    <w:next w:val="RTF_Num33"/>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34">
    <w:name w:val="RTF_Num 3 4"/>
    <w:next w:val="RTF_Num34"/>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35">
    <w:name w:val="RTF_Num 3 5"/>
    <w:next w:val="RTF_Num35"/>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36">
    <w:name w:val="RTF_Num 3 6"/>
    <w:next w:val="RTF_Num36"/>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37">
    <w:name w:val="RTF_Num 3 7"/>
    <w:next w:val="RTF_Num37"/>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38">
    <w:name w:val="RTF_Num 3 8"/>
    <w:next w:val="RTF_Num38"/>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39">
    <w:name w:val="RTF_Num 3 9"/>
    <w:next w:val="RTF_Num39"/>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41">
    <w:name w:val="RTF_Num 4 1"/>
    <w:next w:val="RTF_Num41"/>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42">
    <w:name w:val="RTF_Num 4 2"/>
    <w:next w:val="RTF_Num42"/>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43">
    <w:name w:val="RTF_Num 4 3"/>
    <w:next w:val="RTF_Num43"/>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44">
    <w:name w:val="RTF_Num 4 4"/>
    <w:next w:val="RTF_Num44"/>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45">
    <w:name w:val="RTF_Num 4 5"/>
    <w:next w:val="RTF_Num45"/>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46">
    <w:name w:val="RTF_Num 4 6"/>
    <w:next w:val="RTF_Num46"/>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47">
    <w:name w:val="RTF_Num 4 7"/>
    <w:next w:val="RTF_Num47"/>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48">
    <w:name w:val="RTF_Num 4 8"/>
    <w:next w:val="RTF_Num48"/>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49">
    <w:name w:val="RTF_Num 4 9"/>
    <w:next w:val="RTF_Num49"/>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51">
    <w:name w:val="RTF_Num 5 1"/>
    <w:next w:val="RTF_Num51"/>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52">
    <w:name w:val="RTF_Num 5 2"/>
    <w:next w:val="RTF_Num52"/>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53">
    <w:name w:val="RTF_Num 5 3"/>
    <w:next w:val="RTF_Num53"/>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54">
    <w:name w:val="RTF_Num 5 4"/>
    <w:next w:val="RTF_Num54"/>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55">
    <w:name w:val="RTF_Num 5 5"/>
    <w:next w:val="RTF_Num55"/>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56">
    <w:name w:val="RTF_Num 5 6"/>
    <w:next w:val="RTF_Num56"/>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57">
    <w:name w:val="RTF_Num 5 7"/>
    <w:next w:val="RTF_Num57"/>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58">
    <w:name w:val="RTF_Num 5 8"/>
    <w:next w:val="RTF_Num58"/>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59">
    <w:name w:val="RTF_Num 5 9"/>
    <w:next w:val="RTF_Num59"/>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RTF_Num61">
    <w:name w:val="RTF_Num 6 1"/>
    <w:next w:val="RTF_Num61"/>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62">
    <w:name w:val="RTF_Num 6 2"/>
    <w:next w:val="RTF_Num62"/>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63">
    <w:name w:val="RTF_Num 6 3"/>
    <w:next w:val="RTF_Num63"/>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64">
    <w:name w:val="RTF_Num 6 4"/>
    <w:next w:val="RTF_Num64"/>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65">
    <w:name w:val="RTF_Num 6 5"/>
    <w:next w:val="RTF_Num65"/>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66">
    <w:name w:val="RTF_Num 6 6"/>
    <w:next w:val="RTF_Num66"/>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67">
    <w:name w:val="RTF_Num 6 7"/>
    <w:next w:val="RTF_Num67"/>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68">
    <w:name w:val="RTF_Num 6 8"/>
    <w:next w:val="RTF_Num68"/>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69">
    <w:name w:val="RTF_Num 6 9"/>
    <w:next w:val="RTF_Num69"/>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71">
    <w:name w:val="RTF_Num 7 1"/>
    <w:next w:val="RTF_Num71"/>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72">
    <w:name w:val="RTF_Num 7 2"/>
    <w:next w:val="RTF_Num72"/>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73">
    <w:name w:val="RTF_Num 7 3"/>
    <w:next w:val="RTF_Num73"/>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74">
    <w:name w:val="RTF_Num 7 4"/>
    <w:next w:val="RTF_Num74"/>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75">
    <w:name w:val="RTF_Num 7 5"/>
    <w:next w:val="RTF_Num75"/>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76">
    <w:name w:val="RTF_Num 7 6"/>
    <w:next w:val="RTF_Num76"/>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77">
    <w:name w:val="RTF_Num 7 7"/>
    <w:next w:val="RTF_Num77"/>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78">
    <w:name w:val="RTF_Num 7 8"/>
    <w:next w:val="RTF_Num78"/>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79">
    <w:name w:val="RTF_Num 7 9"/>
    <w:next w:val="RTF_Num79"/>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81">
    <w:name w:val="RTF_Num 8 1"/>
    <w:next w:val="RTF_Num81"/>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82">
    <w:name w:val="RTF_Num 8 2"/>
    <w:next w:val="RTF_Num82"/>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83">
    <w:name w:val="RTF_Num 8 3"/>
    <w:next w:val="RTF_Num83"/>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84">
    <w:name w:val="RTF_Num 8 4"/>
    <w:next w:val="RTF_Num84"/>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85">
    <w:name w:val="RTF_Num 8 5"/>
    <w:next w:val="RTF_Num85"/>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86">
    <w:name w:val="RTF_Num 8 6"/>
    <w:next w:val="RTF_Num86"/>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87">
    <w:name w:val="RTF_Num 8 7"/>
    <w:next w:val="RTF_Num87"/>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88">
    <w:name w:val="RTF_Num 8 8"/>
    <w:next w:val="RTF_Num88"/>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89">
    <w:name w:val="RTF_Num 8 9"/>
    <w:next w:val="RTF_Num89"/>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91">
    <w:name w:val="RTF_Num 9 1"/>
    <w:next w:val="RTF_Num91"/>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92">
    <w:name w:val="RTF_Num 9 2"/>
    <w:next w:val="RTF_Num92"/>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93">
    <w:name w:val="RTF_Num 9 3"/>
    <w:next w:val="RTF_Num93"/>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94">
    <w:name w:val="RTF_Num 9 4"/>
    <w:next w:val="RTF_Num94"/>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95">
    <w:name w:val="RTF_Num 9 5"/>
    <w:next w:val="RTF_Num95"/>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96">
    <w:name w:val="RTF_Num 9 6"/>
    <w:next w:val="RTF_Num96"/>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97">
    <w:name w:val="RTF_Num 9 7"/>
    <w:next w:val="RTF_Num97"/>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98">
    <w:name w:val="RTF_Num 9 8"/>
    <w:next w:val="RTF_Num98"/>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99">
    <w:name w:val="RTF_Num 9 9"/>
    <w:next w:val="RTF_Num99"/>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01">
    <w:name w:val="RTF_Num 10 1"/>
    <w:next w:val="RTF_Num101"/>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02">
    <w:name w:val="RTF_Num 10 2"/>
    <w:next w:val="RTF_Num102"/>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03">
    <w:name w:val="RTF_Num 10 3"/>
    <w:next w:val="RTF_Num103"/>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04">
    <w:name w:val="RTF_Num 10 4"/>
    <w:next w:val="RTF_Num104"/>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05">
    <w:name w:val="RTF_Num 10 5"/>
    <w:next w:val="RTF_Num105"/>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06">
    <w:name w:val="RTF_Num 10 6"/>
    <w:next w:val="RTF_Num106"/>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07">
    <w:name w:val="RTF_Num 10 7"/>
    <w:next w:val="RTF_Num107"/>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08">
    <w:name w:val="RTF_Num 10 8"/>
    <w:next w:val="RTF_Num108"/>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09">
    <w:name w:val="RTF_Num 10 9"/>
    <w:next w:val="RTF_Num109"/>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11">
    <w:name w:val="RTF_Num 11 1"/>
    <w:next w:val="RTF_Num111"/>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12">
    <w:name w:val="RTF_Num 11 2"/>
    <w:next w:val="RTF_Num112"/>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13">
    <w:name w:val="RTF_Num 11 3"/>
    <w:next w:val="RTF_Num113"/>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14">
    <w:name w:val="RTF_Num 11 4"/>
    <w:next w:val="RTF_Num114"/>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15">
    <w:name w:val="RTF_Num 11 5"/>
    <w:next w:val="RTF_Num115"/>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16">
    <w:name w:val="RTF_Num 11 6"/>
    <w:next w:val="RTF_Num116"/>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17">
    <w:name w:val="RTF_Num 11 7"/>
    <w:next w:val="RTF_Num117"/>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18">
    <w:name w:val="RTF_Num 11 8"/>
    <w:next w:val="RTF_Num118"/>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19">
    <w:name w:val="RTF_Num 11 9"/>
    <w:next w:val="RTF_Num119"/>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21">
    <w:name w:val="RTF_Num 12 1"/>
    <w:next w:val="RTF_Num121"/>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22">
    <w:name w:val="RTF_Num 12 2"/>
    <w:next w:val="RTF_Num122"/>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23">
    <w:name w:val="RTF_Num 12 3"/>
    <w:next w:val="RTF_Num123"/>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24">
    <w:name w:val="RTF_Num 12 4"/>
    <w:next w:val="RTF_Num124"/>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25">
    <w:name w:val="RTF_Num 12 5"/>
    <w:next w:val="RTF_Num125"/>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26">
    <w:name w:val="RTF_Num 12 6"/>
    <w:next w:val="RTF_Num126"/>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27">
    <w:name w:val="RTF_Num 12 7"/>
    <w:next w:val="RTF_Num127"/>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28">
    <w:name w:val="RTF_Num 12 8"/>
    <w:next w:val="RTF_Num128"/>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character" w:styleId="RTF_Num129">
    <w:name w:val="RTF_Num 12 9"/>
    <w:next w:val="RTF_Num129"/>
    <w:autoRedefine w:val="0"/>
    <w:hidden w:val="0"/>
    <w:qFormat w:val="0"/>
    <w:rPr>
      <w:rFonts w:ascii="Microsoft Sans Serif" w:cs="Microsoft Sans Serif" w:eastAsia="Microsoft Sans Serif" w:hAnsi="Microsoft Sans Serif"/>
      <w:b w:val="0"/>
      <w:bCs w:val="0"/>
      <w:i w:val="0"/>
      <w:iCs w:val="0"/>
      <w:caps w:val="0"/>
      <w:smallCaps w:val="0"/>
      <w:strike w:val="0"/>
      <w:dstrike w:val="0"/>
      <w:color w:val="000000"/>
      <w:spacing w:val="0"/>
      <w:w w:val="100"/>
      <w:position w:val="0"/>
      <w:sz w:val="18"/>
      <w:szCs w:val="18"/>
      <w:u w:val="none"/>
      <w:effect w:val="none"/>
      <w:vertAlign w:val="baseline"/>
      <w:cs w:val="0"/>
      <w:em w:val="none"/>
      <w:lang w:val="en-US"/>
    </w:rPr>
  </w:style>
  <w:style w:type="paragraph" w:styleId="Название1">
    <w:name w:val="Название1"/>
    <w:basedOn w:val="Обычный"/>
    <w:next w:val="Название1"/>
    <w:autoRedefine w:val="0"/>
    <w:hidden w:val="0"/>
    <w:qFormat w:val="0"/>
    <w:pPr>
      <w:widowControl w:val="0"/>
      <w:suppressLineNumbers w:val="1"/>
      <w:suppressAutoHyphens w:val="0"/>
      <w:spacing w:after="120" w:before="120" w:line="1" w:lineRule="atLeast"/>
      <w:ind w:leftChars="-1" w:rightChars="0" w:firstLineChars="-1"/>
      <w:textDirection w:val="btLr"/>
      <w:textAlignment w:val="top"/>
      <w:outlineLvl w:val="0"/>
    </w:pPr>
    <w:rPr>
      <w:i w:val="1"/>
      <w:iCs w:val="1"/>
      <w:w w:val="100"/>
      <w:kern w:val="1"/>
      <w:position w:val="-1"/>
      <w:sz w:val="24"/>
      <w:szCs w:val="24"/>
      <w:effect w:val="none"/>
      <w:vertAlign w:val="baseline"/>
      <w:cs w:val="0"/>
      <w:em w:val="none"/>
      <w:lang w:bidi="hi-IN" w:eastAsia="hi-IN" w:val="ru-RU"/>
    </w:rPr>
  </w:style>
  <w:style w:type="paragraph" w:styleId="Указатель1">
    <w:name w:val="Указатель1"/>
    <w:basedOn w:val="Обычный"/>
    <w:next w:val="Указатель1"/>
    <w:autoRedefine w:val="0"/>
    <w:hidden w:val="0"/>
    <w:qFormat w:val="0"/>
    <w:pPr>
      <w:widowControl w:val="0"/>
      <w:suppressLineNumbers w:val="1"/>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hi-IN" w:eastAsia="hi-IN" w:val="ru-RU"/>
    </w:rPr>
  </w:style>
  <w:style w:type="paragraph" w:styleId="Содержимоетаблицы">
    <w:name w:val="Содержимое таблицы"/>
    <w:basedOn w:val="Обычный"/>
    <w:next w:val="Содержимоетаблицы"/>
    <w:autoRedefine w:val="0"/>
    <w:hidden w:val="0"/>
    <w:qFormat w:val="0"/>
    <w:pPr>
      <w:widowControl w:val="0"/>
      <w:suppressLineNumbers w:val="1"/>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hi-IN" w:eastAsia="hi-IN" w:val="ru-RU"/>
    </w:rPr>
  </w:style>
  <w:style w:type="paragraph" w:styleId="Заголовоктаблицы">
    <w:name w:val="Заголовок таблицы"/>
    <w:basedOn w:val="Содержимоетаблицы"/>
    <w:next w:val="Заголовоктаблицы"/>
    <w:autoRedefine w:val="0"/>
    <w:hidden w:val="0"/>
    <w:qFormat w:val="0"/>
    <w:pPr>
      <w:widowControl w:val="0"/>
      <w:suppressLineNumbers w:val="1"/>
      <w:suppressAutoHyphens w:val="0"/>
      <w:spacing w:line="1" w:lineRule="atLeast"/>
      <w:ind w:leftChars="-1" w:rightChars="0" w:firstLineChars="-1"/>
      <w:jc w:val="center"/>
      <w:textDirection w:val="btLr"/>
      <w:textAlignment w:val="top"/>
      <w:outlineLvl w:val="0"/>
    </w:pPr>
    <w:rPr>
      <w:b w:val="1"/>
      <w:bCs w:val="1"/>
      <w:w w:val="100"/>
      <w:kern w:val="1"/>
      <w:position w:val="-1"/>
      <w:sz w:val="24"/>
      <w:szCs w:val="24"/>
      <w:effect w:val="none"/>
      <w:vertAlign w:val="baseline"/>
      <w:cs w:val="0"/>
      <w:em w:val="none"/>
      <w:lang w:bidi="hi-IN" w:eastAsia="hi-IN" w:val="ru-RU"/>
    </w:rPr>
  </w:style>
  <w:style w:type="paragraph" w:styleId="Заголовокоглавления">
    <w:name w:val="Заголовок оглавления"/>
    <w:basedOn w:val="Заголовок1"/>
    <w:next w:val="Обычный"/>
    <w:autoRedefine w:val="0"/>
    <w:hidden w:val="0"/>
    <w:qFormat w:val="0"/>
    <w:pPr>
      <w:keepNext w:val="1"/>
      <w:keepLines w:val="1"/>
      <w:widowControl w:val="1"/>
      <w:suppressAutoHyphens w:val="1"/>
      <w:spacing w:after="0" w:before="480" w:line="276" w:lineRule="auto"/>
      <w:ind w:leftChars="-1" w:rightChars="0" w:firstLineChars="-1"/>
      <w:textDirection w:val="btLr"/>
      <w:textAlignment w:val="top"/>
      <w:outlineLvl w:val="9"/>
    </w:pPr>
    <w:rPr>
      <w:rFonts w:ascii="Cambria" w:cs="Times New Roman" w:eastAsia="Times New Roman" w:hAnsi="Cambria"/>
      <w:b w:val="1"/>
      <w:bCs w:val="1"/>
      <w:color w:val="365f91"/>
      <w:w w:val="100"/>
      <w:kern w:val="0"/>
      <w:position w:val="-1"/>
      <w:sz w:val="28"/>
      <w:szCs w:val="28"/>
      <w:effect w:val="none"/>
      <w:vertAlign w:val="baseline"/>
      <w:cs w:val="0"/>
      <w:em w:val="none"/>
      <w:lang w:bidi="ar-SA" w:eastAsia="en-US" w:val="ru-RU"/>
    </w:rPr>
  </w:style>
  <w:style w:type="character" w:styleId="notranslate">
    <w:name w:val="notranslate"/>
    <w:next w:val="notranslate"/>
    <w:autoRedefine w:val="0"/>
    <w:hidden w:val="0"/>
    <w:qFormat w:val="0"/>
    <w:rPr>
      <w:w w:val="100"/>
      <w:position w:val="-1"/>
      <w:effect w:val="none"/>
      <w:vertAlign w:val="baseline"/>
      <w:cs w:val="0"/>
      <w:em w:val="none"/>
      <w:lang/>
    </w:rPr>
  </w:style>
  <w:style w:type="character" w:styleId="tlid-translation">
    <w:name w:val="tlid-translation"/>
    <w:next w:val="tlid-translation"/>
    <w:autoRedefine w:val="0"/>
    <w:hidden w:val="0"/>
    <w:qFormat w:val="0"/>
    <w:rPr>
      <w:w w:val="100"/>
      <w:position w:val="-1"/>
      <w:effect w:val="none"/>
      <w:vertAlign w:val="baseline"/>
      <w:cs w:val="0"/>
      <w:em w:val="none"/>
      <w:lang/>
    </w:rPr>
  </w:style>
  <w:style w:type="paragraph" w:styleId="[Безстиля]">
    <w:name w:val="[Без стиля]"/>
    <w:next w:val="[Безстиля]"/>
    <w:autoRedefine w:val="0"/>
    <w:hidden w:val="0"/>
    <w:qFormat w:val="0"/>
    <w:pPr>
      <w:suppressAutoHyphens w:val="1"/>
      <w:autoSpaceDE w:val="0"/>
      <w:autoSpaceDN w:val="0"/>
      <w:adjustRightInd w:val="0"/>
      <w:spacing w:line="288" w:lineRule="auto"/>
      <w:ind w:leftChars="-1" w:rightChars="0" w:firstLineChars="-1"/>
      <w:textDirection w:val="btLr"/>
      <w:textAlignment w:val="center"/>
      <w:outlineLvl w:val="0"/>
    </w:pPr>
    <w:rPr>
      <w:rFonts w:ascii="Segoe UI" w:cs="Segoe UI" w:hAnsi="Segoe UI"/>
      <w:color w:val="000000"/>
      <w:w w:val="100"/>
      <w:position w:val="-1"/>
      <w:sz w:val="24"/>
      <w:szCs w:val="24"/>
      <w:effect w:val="none"/>
      <w:vertAlign w:val="baseline"/>
      <w:cs w:val="0"/>
      <w:em w:val="none"/>
      <w:lang w:bidi="ar-SA" w:eastAsia="uk-UA" w:val="ru-RU"/>
    </w:rPr>
  </w:style>
  <w:style w:type="table" w:styleId="Сеткатаблицысветлая">
    <w:name w:val="Сетка таблицы светлая"/>
    <w:basedOn w:val="Обычнаятаблица"/>
    <w:next w:val="Сеткатаблицысветлая"/>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Сеткатаблицысветлая"/>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paragraph" w:styleId="Pa0">
    <w:name w:val="Pa0"/>
    <w:basedOn w:val="Обычный"/>
    <w:next w:val="Обычный"/>
    <w:autoRedefine w:val="0"/>
    <w:hidden w:val="0"/>
    <w:qFormat w:val="0"/>
    <w:pPr>
      <w:widowControl w:val="1"/>
      <w:suppressAutoHyphens w:val="1"/>
      <w:autoSpaceDE w:val="0"/>
      <w:autoSpaceDN w:val="0"/>
      <w:adjustRightInd w:val="0"/>
      <w:spacing w:line="181" w:lineRule="atLeast"/>
      <w:ind w:leftChars="-1" w:rightChars="0" w:firstLineChars="-1"/>
      <w:textDirection w:val="btLr"/>
      <w:textAlignment w:val="top"/>
      <w:outlineLvl w:val="0"/>
    </w:pPr>
    <w:rPr>
      <w:rFonts w:ascii="Myriad Pro" w:cs="Times New Roman" w:hAnsi="Myriad Pro"/>
      <w:w w:val="100"/>
      <w:kern w:val="0"/>
      <w:position w:val="-1"/>
      <w:sz w:val="24"/>
      <w:szCs w:val="24"/>
      <w:effect w:val="none"/>
      <w:vertAlign w:val="baseline"/>
      <w:cs w:val="0"/>
      <w:em w:val="none"/>
      <w:lang w:bidi="ar-SA" w:eastAsia="und" w:val="und"/>
    </w:rPr>
  </w:style>
  <w:style w:type="paragraph" w:styleId="Pa11">
    <w:name w:val="Pa11"/>
    <w:basedOn w:val="Обычный"/>
    <w:next w:val="Обычный"/>
    <w:autoRedefine w:val="0"/>
    <w:hidden w:val="0"/>
    <w:qFormat w:val="0"/>
    <w:pPr>
      <w:widowControl w:val="1"/>
      <w:suppressAutoHyphens w:val="1"/>
      <w:autoSpaceDE w:val="0"/>
      <w:autoSpaceDN w:val="0"/>
      <w:adjustRightInd w:val="0"/>
      <w:spacing w:line="181" w:lineRule="atLeast"/>
      <w:ind w:leftChars="-1" w:rightChars="0" w:firstLineChars="-1"/>
      <w:textDirection w:val="btLr"/>
      <w:textAlignment w:val="top"/>
      <w:outlineLvl w:val="0"/>
    </w:pPr>
    <w:rPr>
      <w:rFonts w:ascii="Myriad Pro" w:cs="Times New Roman" w:hAnsi="Myriad Pro"/>
      <w:w w:val="100"/>
      <w:kern w:val="0"/>
      <w:position w:val="-1"/>
      <w:sz w:val="24"/>
      <w:szCs w:val="24"/>
      <w:effect w:val="none"/>
      <w:vertAlign w:val="baseline"/>
      <w:cs w:val="0"/>
      <w:em w:val="none"/>
      <w:lang w:bidi="ar-SA" w:eastAsia="und" w:val="und"/>
    </w:rPr>
  </w:style>
  <w:style w:type="paragraph" w:styleId="Pa12">
    <w:name w:val="Pa12"/>
    <w:basedOn w:val="Обычный"/>
    <w:next w:val="Обычный"/>
    <w:autoRedefine w:val="0"/>
    <w:hidden w:val="0"/>
    <w:qFormat w:val="0"/>
    <w:pPr>
      <w:widowControl w:val="1"/>
      <w:suppressAutoHyphens w:val="1"/>
      <w:autoSpaceDE w:val="0"/>
      <w:autoSpaceDN w:val="0"/>
      <w:adjustRightInd w:val="0"/>
      <w:spacing w:line="181" w:lineRule="atLeast"/>
      <w:ind w:leftChars="-1" w:rightChars="0" w:firstLineChars="-1"/>
      <w:textDirection w:val="btLr"/>
      <w:textAlignment w:val="top"/>
      <w:outlineLvl w:val="0"/>
    </w:pPr>
    <w:rPr>
      <w:rFonts w:ascii="Myriad Pro" w:cs="Times New Roman" w:hAnsi="Myriad Pro"/>
      <w:w w:val="100"/>
      <w:kern w:val="0"/>
      <w:position w:val="-1"/>
      <w:sz w:val="24"/>
      <w:szCs w:val="24"/>
      <w:effect w:val="none"/>
      <w:vertAlign w:val="baseline"/>
      <w:cs w:val="0"/>
      <w:em w:val="none"/>
      <w:lang w:bidi="ar-SA" w:eastAsia="und" w:val="und"/>
    </w:rPr>
  </w:style>
  <w:style w:type="character" w:styleId="A8">
    <w:name w:val="A8"/>
    <w:next w:val="A8"/>
    <w:autoRedefine w:val="0"/>
    <w:hidden w:val="0"/>
    <w:qFormat w:val="0"/>
    <w:rPr>
      <w:color w:val="221e1f"/>
      <w:w w:val="100"/>
      <w:position w:val="-1"/>
      <w:sz w:val="16"/>
      <w:szCs w:val="16"/>
      <w:effect w:val="none"/>
      <w:vertAlign w:val="baseline"/>
      <w:cs w:val="0"/>
      <w:em w:val="none"/>
      <w:lang/>
    </w:rPr>
  </w:style>
  <w:style w:type="character" w:styleId="A10">
    <w:name w:val="A10"/>
    <w:next w:val="A10"/>
    <w:autoRedefine w:val="0"/>
    <w:hidden w:val="0"/>
    <w:qFormat w:val="0"/>
    <w:rPr>
      <w:color w:val="221e1f"/>
      <w:w w:val="100"/>
      <w:position w:val="-1"/>
      <w:sz w:val="16"/>
      <w:szCs w:val="16"/>
      <w:effect w:val="none"/>
      <w:vertAlign w:val="baseline"/>
      <w:cs w:val="0"/>
      <w:em w:val="none"/>
      <w:lang/>
    </w:rPr>
  </w:style>
  <w:style w:type="character" w:styleId="A6">
    <w:name w:val="A6"/>
    <w:next w:val="A6"/>
    <w:autoRedefine w:val="0"/>
    <w:hidden w:val="0"/>
    <w:qFormat w:val="0"/>
    <w:rPr>
      <w:color w:val="221e1f"/>
      <w:w w:val="100"/>
      <w:position w:val="-1"/>
      <w:sz w:val="9"/>
      <w:szCs w:val="9"/>
      <w:effect w:val="none"/>
      <w:vertAlign w:val="baseline"/>
      <w:cs w:val="0"/>
      <w:em w:val="none"/>
      <w:lang/>
    </w:rPr>
  </w:style>
  <w:style w:type="character" w:styleId="ВерхнийколонтитулЗнак1">
    <w:name w:val="Верхний колонтитул Знак1"/>
    <w:next w:val="ВерхнийколонтитулЗнак1"/>
    <w:autoRedefine w:val="0"/>
    <w:hidden w:val="0"/>
    <w:qFormat w:val="0"/>
    <w:rPr>
      <w:rFonts w:ascii="Calibri" w:eastAsia="Calibri" w:hAnsi="Calibri"/>
      <w:w w:val="100"/>
      <w:position w:val="-1"/>
      <w:sz w:val="22"/>
      <w:szCs w:val="22"/>
      <w:effect w:val="none"/>
      <w:vertAlign w:val="baseline"/>
      <w:cs w:val="0"/>
      <w:em w:val="none"/>
      <w:lang w:eastAsia="ar-SA" w:val="ru-RU"/>
    </w:rPr>
  </w:style>
  <w:style w:type="numbering" w:styleId="WW8Num2">
    <w:name w:val="WW8Num2"/>
    <w:basedOn w:val="Нетсписка"/>
    <w:next w:val="WW8Num2"/>
    <w:autoRedefine w:val="0"/>
    <w:hidden w:val="0"/>
    <w:qFormat w:val="0"/>
    <w:pPr>
      <w:numPr>
        <w:ilvl w:val="0"/>
        <w:numId w:val="29"/>
      </w:numPr>
      <w:suppressAutoHyphens w:val="1"/>
      <w:spacing w:line="1" w:lineRule="atLeast"/>
      <w:ind w:leftChars="-1" w:rightChars="0" w:firstLineChars="-1"/>
      <w:textDirection w:val="btLr"/>
      <w:textAlignment w:val="top"/>
      <w:outlineLvl w:val="0"/>
    </w:pPr>
  </w:style>
  <w:style w:type="numbering" w:styleId="WW8Num21">
    <w:name w:val="WW8Num21"/>
    <w:basedOn w:val="Нетсписка"/>
    <w:next w:val="WW8Num21"/>
    <w:autoRedefine w:val="0"/>
    <w:hidden w:val="0"/>
    <w:qFormat w:val="0"/>
    <w:pPr>
      <w:numPr>
        <w:ilvl w:val="0"/>
        <w:numId w:val="27"/>
      </w:numPr>
      <w:suppressAutoHyphens w:val="1"/>
      <w:spacing w:line="1" w:lineRule="atLeast"/>
      <w:ind w:leftChars="-1" w:rightChars="0" w:firstLineChars="-1"/>
      <w:textDirection w:val="btLr"/>
      <w:textAlignment w:val="top"/>
      <w:outlineLvl w:val="0"/>
    </w:pPr>
  </w:style>
  <w:style w:type="paragraph" w:styleId="Абзацсписка">
    <w:name w:val="Абзац списка"/>
    <w:basedOn w:val="Обычный"/>
    <w:next w:val="Абзацсписка"/>
    <w:autoRedefine w:val="0"/>
    <w:hidden w:val="0"/>
    <w:qFormat w:val="0"/>
    <w:pPr>
      <w:widowControl w:val="1"/>
      <w:suppressAutoHyphens w:val="0"/>
      <w:spacing w:after="200" w:line="276" w:lineRule="auto"/>
      <w:ind w:left="720" w:leftChars="-1" w:rightChars="0" w:firstLineChars="-1"/>
      <w:textDirection w:val="btLr"/>
      <w:textAlignment w:val="top"/>
      <w:outlineLvl w:val="0"/>
    </w:pPr>
    <w:rPr>
      <w:rFonts w:ascii="Calibri" w:cs="Times New Roman" w:eastAsia="Calibri" w:hAnsi="Calibri"/>
      <w:w w:val="100"/>
      <w:kern w:val="0"/>
      <w:position w:val="-1"/>
      <w:sz w:val="22"/>
      <w:szCs w:val="22"/>
      <w:effect w:val="none"/>
      <w:vertAlign w:val="baseline"/>
      <w:cs w:val="0"/>
      <w:em w:val="none"/>
      <w:lang w:bidi="ar-SA" w:eastAsia="ar-SA" w:val="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header" Target="header3.xml"/><Relationship Id="rId12" Type="http://schemas.openxmlformats.org/officeDocument/2006/relationships/header" Target="header4.xml"/><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Arimo-regular.ttf"/><Relationship Id="rId4" Type="http://schemas.openxmlformats.org/officeDocument/2006/relationships/font" Target="fonts/Arimo-bold.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s>
</file>

<file path=word/_rels/header5.xml.rels><?xml version="1.0" encoding="UTF-8" standalone="yes"?><Relationships xmlns="http://schemas.openxmlformats.org/package/2006/relationships"><Relationship Id="rId3"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4epp3BxmGF8bAgAb8n455L+aCQ==">AMUW2mUvbLcLAPXG0UFVQXzqh6kjGWgr9eV/ndpVGAB0qsR9YR7lzhNBM0hACekxXc0U3b9jnT6/3VDiQEnkytRQvIUYKvBwxwvaGpifBBFbmPzA7VOtk5C6DNEbda5DvqyU6baT6W2JioYD4T6oat07YN8R0CdUTuB4As5YNcHyZU31HbDWiyQgDO1YXBRskuUAFd486Sg2oLo3Z7SCaGFZffLdpi2zX2oUYfrLHYJqJfbk5lml/V1NFkU6WPvNSNTcPOh+oz9pNaoKAroETxdiRqJ2La4wsfkwSQIN+EbXbh8trpCj/CFWW/8S3TTQyXx04Ji8D2SDed4U/rj6mKirV1OTRchfgjeSsWjcZZXCOsXUSUAZJL//m4EfU/x61RcKuUH1HHyx5/RO998U16SeLlK3hLQqTUeb75itQQmmBMp6q7vg7toLtzN3g12VV/YItu26bk6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2021-09-14T14:28:00Z</dcterms:created>
  <dc:creator>Александр</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str>1049-11.2.0.9937</vt:lpstr>
  </property>
</Properties>
</file>